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1A8A7" w14:textId="77777777" w:rsidR="00A54B06" w:rsidRPr="00D32A71" w:rsidRDefault="00A54B06" w:rsidP="00A54B06">
      <w:pPr>
        <w:pStyle w:val="Bezatstarpm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D32A71">
        <w:rPr>
          <w:rFonts w:ascii="Times New Roman" w:hAnsi="Times New Roman" w:cs="Times New Roman"/>
          <w:b/>
          <w:spacing w:val="-2"/>
          <w:sz w:val="28"/>
        </w:rPr>
        <w:t>Likumprojekta</w:t>
      </w:r>
    </w:p>
    <w:p w14:paraId="7A3FC104" w14:textId="31D67E6D" w:rsidR="00A54B06" w:rsidRPr="00D32A71" w:rsidRDefault="00C15F64" w:rsidP="00A54B06">
      <w:pPr>
        <w:pStyle w:val="Bezatstarpm"/>
        <w:jc w:val="center"/>
        <w:rPr>
          <w:rFonts w:ascii="Times New Roman" w:hAnsi="Times New Roman" w:cs="Times New Roman"/>
          <w:b/>
          <w:spacing w:val="-2"/>
          <w:sz w:val="28"/>
        </w:rPr>
      </w:pPr>
      <w:r>
        <w:rPr>
          <w:rFonts w:ascii="Times New Roman" w:hAnsi="Times New Roman" w:cs="Times New Roman"/>
          <w:b/>
          <w:spacing w:val="-2"/>
          <w:sz w:val="28"/>
        </w:rPr>
        <w:t>“</w:t>
      </w:r>
      <w:r w:rsidR="00A54B06" w:rsidRPr="00D32A71">
        <w:rPr>
          <w:rFonts w:ascii="Times New Roman" w:hAnsi="Times New Roman" w:cs="Times New Roman"/>
          <w:b/>
          <w:spacing w:val="-2"/>
          <w:sz w:val="28"/>
        </w:rPr>
        <w:t>Grozījumi Veterinārmedicīnas likumā”</w:t>
      </w:r>
    </w:p>
    <w:p w14:paraId="7ADCB90D" w14:textId="77777777" w:rsidR="00393BEE" w:rsidRPr="00D32A71" w:rsidRDefault="00393BEE" w:rsidP="00393BEE">
      <w:pPr>
        <w:pStyle w:val="Bezatstarpm"/>
        <w:jc w:val="center"/>
        <w:rPr>
          <w:rFonts w:ascii="Times New Roman" w:hAnsi="Times New Roman" w:cs="Times New Roman"/>
          <w:b/>
          <w:bCs/>
          <w:spacing w:val="-2"/>
          <w:sz w:val="28"/>
        </w:rPr>
      </w:pPr>
      <w:r w:rsidRPr="00D32A71">
        <w:rPr>
          <w:rFonts w:ascii="Times New Roman" w:hAnsi="Times New Roman" w:cs="Times New Roman"/>
          <w:b/>
          <w:bCs/>
          <w:spacing w:val="-2"/>
          <w:sz w:val="28"/>
        </w:rPr>
        <w:t>sākotnējās ietekmes novērtējuma ziņojums (anotācija)</w:t>
      </w:r>
    </w:p>
    <w:p w14:paraId="00B418A5" w14:textId="77777777" w:rsidR="00974EF9" w:rsidRPr="00D32A71" w:rsidRDefault="00974EF9" w:rsidP="00393BEE">
      <w:pPr>
        <w:pStyle w:val="Bezatstarpm"/>
        <w:jc w:val="center"/>
        <w:rPr>
          <w:rFonts w:ascii="Times New Roman" w:hAnsi="Times New Roman" w:cs="Times New Roman"/>
          <w:b/>
          <w:bCs/>
          <w:spacing w:val="-2"/>
          <w:sz w:val="28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974EF9" w:rsidRPr="00D32A71" w14:paraId="6F7B5D21" w14:textId="77777777" w:rsidTr="00BE5C57">
        <w:trPr>
          <w:cantSplit/>
        </w:trPr>
        <w:tc>
          <w:tcPr>
            <w:tcW w:w="9072" w:type="dxa"/>
            <w:gridSpan w:val="2"/>
            <w:shd w:val="clear" w:color="auto" w:fill="FFFFFF"/>
            <w:vAlign w:val="center"/>
            <w:hideMark/>
          </w:tcPr>
          <w:p w14:paraId="18221B3B" w14:textId="77777777" w:rsidR="00974EF9" w:rsidRPr="00D32A71" w:rsidRDefault="00974EF9" w:rsidP="00974EF9">
            <w:pPr>
              <w:jc w:val="center"/>
              <w:rPr>
                <w:rFonts w:eastAsia="Calibri"/>
                <w:b/>
                <w:spacing w:val="-2"/>
                <w:lang w:eastAsia="en-US"/>
              </w:rPr>
            </w:pPr>
            <w:r w:rsidRPr="00D32A71">
              <w:rPr>
                <w:rFonts w:eastAsia="Calibri"/>
                <w:b/>
                <w:spacing w:val="-2"/>
                <w:lang w:eastAsia="en-US"/>
              </w:rPr>
              <w:t>Tiesību akta projekta anotācijas kopsavilkums</w:t>
            </w:r>
          </w:p>
        </w:tc>
      </w:tr>
      <w:tr w:rsidR="002F3D83" w:rsidRPr="002F3D83" w14:paraId="15ED4BE5" w14:textId="77777777" w:rsidTr="00BE5C57">
        <w:trPr>
          <w:cantSplit/>
        </w:trPr>
        <w:tc>
          <w:tcPr>
            <w:tcW w:w="2552" w:type="dxa"/>
            <w:shd w:val="clear" w:color="auto" w:fill="FFFFFF"/>
            <w:hideMark/>
          </w:tcPr>
          <w:p w14:paraId="6AB0B741" w14:textId="16F1AC93" w:rsidR="00974EF9" w:rsidRPr="002F3D83" w:rsidRDefault="00974EF9" w:rsidP="00974EF9">
            <w:pPr>
              <w:rPr>
                <w:rFonts w:eastAsia="Calibri"/>
                <w:color w:val="000000" w:themeColor="text1"/>
                <w:spacing w:val="-2"/>
                <w:lang w:eastAsia="en-US"/>
              </w:rPr>
            </w:pPr>
            <w:r w:rsidRPr="002F3D83">
              <w:rPr>
                <w:rFonts w:eastAsia="Calibri"/>
                <w:color w:val="000000" w:themeColor="text1"/>
                <w:spacing w:val="-2"/>
                <w:lang w:eastAsia="en-US"/>
              </w:rPr>
              <w:t xml:space="preserve">Mērķis, risinājums un projekta spēkā stāšanās laiks </w:t>
            </w:r>
          </w:p>
        </w:tc>
        <w:tc>
          <w:tcPr>
            <w:tcW w:w="6520" w:type="dxa"/>
            <w:shd w:val="clear" w:color="auto" w:fill="FFFFFF"/>
          </w:tcPr>
          <w:p w14:paraId="7001E498" w14:textId="6033DACF" w:rsidR="009C3379" w:rsidRPr="005C0B33" w:rsidRDefault="00C15F64" w:rsidP="009C3379">
            <w:pPr>
              <w:jc w:val="both"/>
              <w:rPr>
                <w:rFonts w:eastAsia="Calibri"/>
                <w:color w:val="000000" w:themeColor="text1"/>
                <w:spacing w:val="-2"/>
                <w:lang w:eastAsia="en-US"/>
              </w:rPr>
            </w:pPr>
            <w:r>
              <w:rPr>
                <w:color w:val="000000" w:themeColor="text1"/>
              </w:rPr>
              <w:t>L</w:t>
            </w:r>
            <w:r w:rsidR="009C3379" w:rsidRPr="005C0B33">
              <w:rPr>
                <w:rFonts w:eastAsia="Calibri"/>
                <w:color w:val="000000" w:themeColor="text1"/>
                <w:spacing w:val="-2"/>
                <w:lang w:eastAsia="en-US"/>
              </w:rPr>
              <w:t>ikumprojekt</w:t>
            </w:r>
            <w:r>
              <w:rPr>
                <w:rFonts w:eastAsia="Calibri"/>
                <w:color w:val="000000" w:themeColor="text1"/>
                <w:spacing w:val="-2"/>
                <w:lang w:eastAsia="en-US"/>
              </w:rPr>
              <w:t>a</w:t>
            </w:r>
            <w:r w:rsidR="009C3379" w:rsidRPr="005C0B33">
              <w:rPr>
                <w:rFonts w:eastAsia="Calibri"/>
                <w:color w:val="000000" w:themeColor="text1"/>
                <w:spacing w:val="-2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spacing w:val="-2"/>
                <w:lang w:eastAsia="en-US"/>
              </w:rPr>
              <w:t>“</w:t>
            </w:r>
            <w:r w:rsidR="009C3379" w:rsidRPr="005C0B33">
              <w:rPr>
                <w:rFonts w:eastAsia="Calibri"/>
                <w:color w:val="000000" w:themeColor="text1"/>
                <w:spacing w:val="-2"/>
                <w:lang w:eastAsia="en-US"/>
              </w:rPr>
              <w:t>Grozījumi Veterinārmedicīnas likumā” (turpmāk – likumprojekts)</w:t>
            </w:r>
            <w:r w:rsidR="005F18DB" w:rsidRPr="005C0B33">
              <w:rPr>
                <w:rFonts w:eastAsia="Calibri"/>
                <w:color w:val="000000" w:themeColor="text1"/>
                <w:spacing w:val="-2"/>
                <w:lang w:eastAsia="en-US"/>
              </w:rPr>
              <w:t xml:space="preserve"> mērķis ir:</w:t>
            </w:r>
          </w:p>
          <w:p w14:paraId="246F95A7" w14:textId="4208A7EA" w:rsidR="00974EF9" w:rsidRPr="005C0B33" w:rsidRDefault="005F18DB" w:rsidP="009C3379">
            <w:pPr>
              <w:jc w:val="both"/>
              <w:rPr>
                <w:rFonts w:eastAsia="Calibri"/>
                <w:color w:val="000000" w:themeColor="text1"/>
                <w:spacing w:val="-2"/>
              </w:rPr>
            </w:pPr>
            <w:r w:rsidRPr="005C0B33">
              <w:rPr>
                <w:rFonts w:eastAsia="Calibri"/>
                <w:color w:val="000000" w:themeColor="text1"/>
                <w:spacing w:val="-2"/>
                <w:lang w:eastAsia="en-US"/>
              </w:rPr>
              <w:t>1)</w:t>
            </w:r>
            <w:r w:rsidR="005F4B5C" w:rsidRPr="005C0B33">
              <w:rPr>
                <w:rFonts w:eastAsia="Calibri"/>
                <w:color w:val="000000" w:themeColor="text1"/>
                <w:spacing w:val="-2"/>
              </w:rPr>
              <w:t xml:space="preserve"> pilnveidot nozari reglamentējošo normatīvo bāzi, kas nosaka administratīvo atbildību par dzīvnieku neapzīmēšanu un nereģistrēšanu, suņu pasu nepilnīgu vai neatb</w:t>
            </w:r>
            <w:r w:rsidR="00563DC0" w:rsidRPr="005C0B33">
              <w:rPr>
                <w:rFonts w:eastAsia="Calibri"/>
                <w:color w:val="000000" w:themeColor="text1"/>
                <w:spacing w:val="-2"/>
              </w:rPr>
              <w:t>ilstošu aizpildīšanu</w:t>
            </w:r>
            <w:r w:rsidR="005F4B5C" w:rsidRPr="005C0B33">
              <w:rPr>
                <w:rFonts w:eastAsia="Calibri"/>
                <w:color w:val="000000" w:themeColor="text1"/>
                <w:spacing w:val="-2"/>
              </w:rPr>
              <w:t>;</w:t>
            </w:r>
          </w:p>
          <w:p w14:paraId="132A9733" w14:textId="65F41B12" w:rsidR="00E33B11" w:rsidRDefault="005F18DB" w:rsidP="005C0B33">
            <w:pPr>
              <w:pStyle w:val="Paraststmeklis"/>
              <w:spacing w:before="0" w:beforeAutospacing="0" w:after="0" w:afterAutospacing="0"/>
              <w:jc w:val="both"/>
              <w:rPr>
                <w:rFonts w:eastAsia="Calibri"/>
                <w:noProof/>
                <w:color w:val="000000" w:themeColor="text1"/>
                <w:spacing w:val="-2"/>
                <w:lang w:val="lv-LV"/>
              </w:rPr>
            </w:pPr>
            <w:r w:rsidRPr="005C0B33">
              <w:rPr>
                <w:rFonts w:eastAsia="Calibri"/>
                <w:noProof/>
                <w:color w:val="000000" w:themeColor="text1"/>
                <w:spacing w:val="-2"/>
                <w:lang w:val="lv-LV"/>
              </w:rPr>
              <w:t>2)</w:t>
            </w:r>
            <w:r w:rsidR="00563DC0" w:rsidRPr="005C0B33">
              <w:rPr>
                <w:rFonts w:eastAsia="Calibri"/>
                <w:noProof/>
                <w:color w:val="000000" w:themeColor="text1"/>
                <w:spacing w:val="-2"/>
                <w:lang w:val="lv-LV"/>
              </w:rPr>
              <w:t xml:space="preserve"> </w:t>
            </w:r>
            <w:r w:rsidR="00A34CFD" w:rsidRPr="005C0B33">
              <w:rPr>
                <w:rFonts w:eastAsia="Calibri"/>
                <w:noProof/>
                <w:color w:val="000000" w:themeColor="text1"/>
                <w:spacing w:val="-2"/>
                <w:lang w:val="lv-LV"/>
              </w:rPr>
              <w:t>pilnveidot</w:t>
            </w:r>
            <w:r w:rsidR="00563DC0" w:rsidRPr="005C0B33">
              <w:rPr>
                <w:rFonts w:eastAsia="Calibri"/>
                <w:noProof/>
                <w:color w:val="000000" w:themeColor="text1"/>
                <w:spacing w:val="-2"/>
                <w:lang w:val="lv-LV"/>
              </w:rPr>
              <w:t xml:space="preserve"> </w:t>
            </w:r>
            <w:r w:rsidR="000866AA" w:rsidRPr="005C0B33">
              <w:rPr>
                <w:noProof/>
                <w:lang w:val="lv-LV"/>
              </w:rPr>
              <w:t>mājas (istabas) dzīvnieku apzīmēšanas un reģistrācijas kārtību</w:t>
            </w:r>
            <w:r w:rsidR="008C4459">
              <w:rPr>
                <w:noProof/>
                <w:lang w:val="lv-LV"/>
              </w:rPr>
              <w:t xml:space="preserve"> un </w:t>
            </w:r>
            <w:r w:rsidR="008C4459" w:rsidRPr="005C0B33">
              <w:rPr>
                <w:noProof/>
                <w:lang w:val="lv-LV"/>
              </w:rPr>
              <w:t>no</w:t>
            </w:r>
            <w:r w:rsidR="008C4459">
              <w:rPr>
                <w:noProof/>
                <w:lang w:val="lv-LV"/>
              </w:rPr>
              <w:t>teikt</w:t>
            </w:r>
            <w:r w:rsidR="008C4459" w:rsidRPr="005C0B33">
              <w:rPr>
                <w:noProof/>
                <w:lang w:val="lv-LV"/>
              </w:rPr>
              <w:t xml:space="preserve"> </w:t>
            </w:r>
            <w:r w:rsidR="000866AA" w:rsidRPr="005C0B33">
              <w:rPr>
                <w:noProof/>
                <w:lang w:val="lv-LV"/>
              </w:rPr>
              <w:t xml:space="preserve">maksas apmēru </w:t>
            </w:r>
            <w:r w:rsidR="008C4459" w:rsidRPr="005C0B33">
              <w:rPr>
                <w:noProof/>
                <w:lang w:val="lv-LV"/>
              </w:rPr>
              <w:t xml:space="preserve">un samaksas kārtību </w:t>
            </w:r>
            <w:r w:rsidR="000866AA" w:rsidRPr="005C0B33">
              <w:rPr>
                <w:noProof/>
                <w:lang w:val="lv-LV"/>
              </w:rPr>
              <w:t>par mājas (istabas) dzīvnieka reģistrēšanu</w:t>
            </w:r>
            <w:r w:rsidR="008C4459">
              <w:rPr>
                <w:noProof/>
                <w:lang w:val="lv-LV"/>
              </w:rPr>
              <w:t>.</w:t>
            </w:r>
            <w:r w:rsidR="004D0FA6" w:rsidRPr="005C0B33">
              <w:rPr>
                <w:noProof/>
                <w:lang w:val="lv-LV"/>
              </w:rPr>
              <w:t>.</w:t>
            </w:r>
            <w:r w:rsidR="004D0FA6" w:rsidRPr="005C0B33" w:rsidDel="000866AA">
              <w:rPr>
                <w:rFonts w:eastAsia="Calibri"/>
                <w:noProof/>
                <w:color w:val="000000" w:themeColor="text1"/>
                <w:spacing w:val="-2"/>
                <w:lang w:val="lv-LV"/>
              </w:rPr>
              <w:t xml:space="preserve"> </w:t>
            </w:r>
          </w:p>
          <w:p w14:paraId="18732F61" w14:textId="3F792C9D" w:rsidR="005F18DB" w:rsidRPr="00C01D38" w:rsidRDefault="005F18DB" w:rsidP="005C0B33">
            <w:pPr>
              <w:pStyle w:val="Paraststmeklis"/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pacing w:val="-2"/>
                <w:lang w:val="lv-LV"/>
              </w:rPr>
            </w:pPr>
            <w:r w:rsidRPr="005C0B33">
              <w:rPr>
                <w:rFonts w:eastAsia="Calibri"/>
                <w:noProof/>
                <w:color w:val="000000" w:themeColor="text1"/>
                <w:spacing w:val="-2"/>
                <w:lang w:val="lv-LV"/>
              </w:rPr>
              <w:t>Likumprojekts stāsies spēkā vispārējā kārtībā.</w:t>
            </w:r>
          </w:p>
        </w:tc>
      </w:tr>
    </w:tbl>
    <w:p w14:paraId="4B8557BF" w14:textId="77777777" w:rsidR="00393BEE" w:rsidRPr="002F3D83" w:rsidRDefault="00393BEE" w:rsidP="00393BEE">
      <w:pPr>
        <w:pStyle w:val="Bezatstarpm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lv-LV"/>
        </w:rPr>
      </w:pPr>
    </w:p>
    <w:tbl>
      <w:tblPr>
        <w:tblStyle w:val="Reatabula"/>
        <w:tblW w:w="9072" w:type="dxa"/>
        <w:jc w:val="center"/>
        <w:tblLook w:val="04A0" w:firstRow="1" w:lastRow="0" w:firstColumn="1" w:lastColumn="0" w:noHBand="0" w:noVBand="1"/>
      </w:tblPr>
      <w:tblGrid>
        <w:gridCol w:w="392"/>
        <w:gridCol w:w="2121"/>
        <w:gridCol w:w="6559"/>
      </w:tblGrid>
      <w:tr w:rsidR="002F3D83" w:rsidRPr="002F3D83" w14:paraId="49B7C7D5" w14:textId="77777777" w:rsidTr="00BE5C57">
        <w:trPr>
          <w:jc w:val="center"/>
        </w:trPr>
        <w:tc>
          <w:tcPr>
            <w:tcW w:w="9072" w:type="dxa"/>
            <w:gridSpan w:val="3"/>
          </w:tcPr>
          <w:p w14:paraId="55842622" w14:textId="77777777" w:rsidR="00393BEE" w:rsidRPr="002F3D83" w:rsidRDefault="00393BEE" w:rsidP="00FA340F">
            <w:pPr>
              <w:pStyle w:val="Bezatstarpm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2F3D83" w:rsidRPr="002F3D83" w14:paraId="1861BD58" w14:textId="77777777" w:rsidTr="00BE5C57">
        <w:trPr>
          <w:jc w:val="center"/>
        </w:trPr>
        <w:tc>
          <w:tcPr>
            <w:tcW w:w="283" w:type="dxa"/>
          </w:tcPr>
          <w:p w14:paraId="2A7A1C48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126" w:type="dxa"/>
          </w:tcPr>
          <w:p w14:paraId="299BD132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6663" w:type="dxa"/>
          </w:tcPr>
          <w:p w14:paraId="59B5393D" w14:textId="60948DE7" w:rsidR="00393BEE" w:rsidRPr="002F3D83" w:rsidRDefault="00974EF9" w:rsidP="009A5577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Zemkopības ministrija iniciatīva</w:t>
            </w:r>
            <w:r w:rsidR="00A54B06"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</w:tr>
      <w:tr w:rsidR="002F3D83" w:rsidRPr="002F3D83" w14:paraId="224423B8" w14:textId="77777777" w:rsidTr="00BE5C57">
        <w:trPr>
          <w:jc w:val="center"/>
        </w:trPr>
        <w:tc>
          <w:tcPr>
            <w:tcW w:w="283" w:type="dxa"/>
          </w:tcPr>
          <w:p w14:paraId="78A986D2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26" w:type="dxa"/>
          </w:tcPr>
          <w:p w14:paraId="1AA62CCA" w14:textId="77777777" w:rsidR="00393BEE" w:rsidRPr="002F3D83" w:rsidRDefault="00393BEE" w:rsidP="00FA340F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7410F6A7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49D36A7D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4EA92722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4A4F2881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59D1BEF1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5E971AD6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65ED642C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5F28E36B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3EA96E3E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04F7095C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142EB0D1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5E4203B6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25954964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6B2D46DC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43045557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184AC858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07F4945D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4CEC76B2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26926C5F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5A544CF4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6F1921AD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322DDF69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24E098D6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57540D7A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4E95E2F4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6730781D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497CE9B2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581E207D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16D1388D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7373243B" w14:textId="77777777" w:rsidR="00C016F4" w:rsidRPr="002F3D83" w:rsidRDefault="00C016F4" w:rsidP="00C016F4">
            <w:pPr>
              <w:rPr>
                <w:color w:val="000000" w:themeColor="text1"/>
                <w:spacing w:val="-2"/>
              </w:rPr>
            </w:pPr>
          </w:p>
          <w:p w14:paraId="2341CF51" w14:textId="77777777" w:rsidR="00C016F4" w:rsidRPr="002F3D83" w:rsidRDefault="00C016F4" w:rsidP="00710A00">
            <w:pPr>
              <w:ind w:firstLine="720"/>
              <w:rPr>
                <w:color w:val="000000" w:themeColor="text1"/>
                <w:spacing w:val="-2"/>
              </w:rPr>
            </w:pPr>
          </w:p>
          <w:p w14:paraId="2EBB0ED9" w14:textId="77777777" w:rsidR="00C016F4" w:rsidRPr="002F3D83" w:rsidRDefault="00C016F4" w:rsidP="00C016F4">
            <w:pPr>
              <w:rPr>
                <w:rFonts w:eastAsiaTheme="minorHAnsi"/>
                <w:color w:val="000000" w:themeColor="text1"/>
                <w:spacing w:val="-2"/>
              </w:rPr>
            </w:pPr>
          </w:p>
          <w:p w14:paraId="59356C0E" w14:textId="77777777" w:rsidR="00C016F4" w:rsidRPr="002F3D83" w:rsidRDefault="00C016F4" w:rsidP="00C016F4">
            <w:pPr>
              <w:jc w:val="center"/>
              <w:rPr>
                <w:color w:val="000000" w:themeColor="text1"/>
                <w:spacing w:val="-2"/>
              </w:rPr>
            </w:pPr>
          </w:p>
        </w:tc>
        <w:tc>
          <w:tcPr>
            <w:tcW w:w="6663" w:type="dxa"/>
          </w:tcPr>
          <w:p w14:paraId="306F5E57" w14:textId="02568D06" w:rsidR="00A1108E" w:rsidRPr="00AD78DB" w:rsidRDefault="00C15F64" w:rsidP="00D71DDE">
            <w:pPr>
              <w:pStyle w:val="Bezatstarpm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S</w:t>
            </w:r>
            <w:r w:rsidR="00B479A1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pēkā esošo</w:t>
            </w:r>
            <w:r w:rsidR="003913D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Ministru kabineta 2011.</w:t>
            </w:r>
            <w:r w:rsidR="001A3D9C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913D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gad</w:t>
            </w:r>
            <w:r w:rsidR="00521D5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3913D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21.</w:t>
            </w:r>
            <w:r w:rsidR="001A3D9C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3913D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jūnija noteikum</w:t>
            </w:r>
            <w:r w:rsidR="00521D5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3913D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1D5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Nr. 491 “Mājas (istabas) dzīvnieku reģistrācijas kārtība” </w:t>
            </w:r>
            <w:r w:rsidR="001F2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(turpmāk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1F28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noteikumi Nr. 491) </w:t>
            </w:r>
            <w:r w:rsidR="00521D5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A3D9C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21D5E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punkts</w:t>
            </w:r>
            <w:r w:rsidR="00B479A1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paredz, ka mājas (istabas) dzīvnieku reģistrācijas prasību izpildi uzrauga un kontrolē vietējās pašvaldības saskaņā ar to saistošajiem noteikumiem, kā arī Pārtikas un veterinārais dienests </w:t>
            </w:r>
            <w:r w:rsidR="00596E61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(turpmāk – dienests) </w:t>
            </w:r>
            <w:r w:rsidR="00B479A1" w:rsidRPr="00AD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veterinārās uzraudzības objektos.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Veterinārmedicīnas likuma 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panta </w:t>
            </w:r>
            <w:r w:rsidR="00BC237F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pirmās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daļas 7.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punkt</w:t>
            </w:r>
            <w:r w:rsidR="001F28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BC237F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ir noteikts, ka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dienesta funkcija</w:t>
            </w:r>
            <w:r w:rsidR="00BC237F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ir kontrolēt dzīvnieku apzīmēšanu un reģistrēšanu</w:t>
            </w:r>
            <w:r w:rsidR="008C4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Savukārt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pašvaldībām</w:t>
            </w:r>
            <w:r w:rsidR="00801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šāda funkcija </w:t>
            </w:r>
            <w:r w:rsidR="00395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ir</w:t>
            </w:r>
            <w:r w:rsidR="00801E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noteikta</w:t>
            </w:r>
            <w:r w:rsidR="0039507D" w:rsidRPr="008C4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noteikum</w:t>
            </w:r>
            <w:r w:rsidR="00395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 Nr. </w:t>
            </w:r>
            <w:r w:rsidR="0039507D" w:rsidRPr="008C4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491</w:t>
            </w:r>
            <w:r w:rsidR="00395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3. punktā</w:t>
            </w:r>
            <w:r w:rsidR="005134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8C44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Lai nodrošinātu skaidru un nepārprotamu tiesību normu piemērošanu</w:t>
            </w:r>
            <w:r w:rsidR="00612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ievērojot atbilstošu juridisko tehniku,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nepieciešams papildināt </w:t>
            </w:r>
            <w:r w:rsidR="00432BC7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eterinārmedicīnas likumu ar 21.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 xml:space="preserve">3 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pantu, nosak</w:t>
            </w:r>
            <w:r w:rsidR="00612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ot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pašvaldību kompetenci</w:t>
            </w:r>
            <w:r w:rsidR="006127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likumā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Tas uzlabos izpratni par pašvaldību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nozīmi</w:t>
            </w:r>
            <w:r w:rsidR="00A1108E" w:rsidRPr="00AD78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dzīvnieku reģistrācijā un apzīmēšanā.</w:t>
            </w:r>
          </w:p>
          <w:p w14:paraId="44CA623C" w14:textId="4D6CD9A0" w:rsidR="000C0DE4" w:rsidRPr="00AD78DB" w:rsidRDefault="00FC16D2" w:rsidP="000C0DE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>Pašvaldībām šī nav jauna funkcija un nerada papildu administratīvo slogu.</w:t>
            </w:r>
            <w:r w:rsidR="00AD78DB">
              <w:rPr>
                <w:color w:val="000000" w:themeColor="text1"/>
              </w:rPr>
              <w:t xml:space="preserve"> </w:t>
            </w:r>
            <w:r w:rsidR="000C0DE4" w:rsidRPr="00AD78DB">
              <w:rPr>
                <w:color w:val="000000" w:themeColor="text1"/>
              </w:rPr>
              <w:t xml:space="preserve">Veterinārmedicīnas likums </w:t>
            </w:r>
            <w:r w:rsidR="00C15F64">
              <w:rPr>
                <w:color w:val="000000" w:themeColor="text1"/>
              </w:rPr>
              <w:t xml:space="preserve">pašreizējā redakcijā </w:t>
            </w:r>
            <w:r w:rsidR="000C0DE4" w:rsidRPr="00AD78DB">
              <w:rPr>
                <w:color w:val="000000" w:themeColor="text1"/>
              </w:rPr>
              <w:t xml:space="preserve">nosaka pienākumu dzīvnieku īpašniekiem vai turētājiem nodrošināt, lai suns ir apzīmēts ar mikroshēmu un reģistrēts Lauksaimniecības datu centra </w:t>
            </w:r>
            <w:r w:rsidR="0091648B">
              <w:rPr>
                <w:color w:val="000000" w:themeColor="text1"/>
              </w:rPr>
              <w:t xml:space="preserve">(turpmāk – datu centrs) </w:t>
            </w:r>
            <w:r w:rsidR="000C0DE4" w:rsidRPr="00AD78DB">
              <w:rPr>
                <w:color w:val="000000" w:themeColor="text1"/>
              </w:rPr>
              <w:t>mājas (istabas) dzīvnieku reģistra datubāzē</w:t>
            </w:r>
            <w:r w:rsidR="00CE15A7" w:rsidRPr="00AD78DB">
              <w:rPr>
                <w:color w:val="000000" w:themeColor="text1"/>
              </w:rPr>
              <w:t xml:space="preserve"> (turpmāk – datubāze) </w:t>
            </w:r>
            <w:r w:rsidR="000C0DE4" w:rsidRPr="00AD78DB">
              <w:rPr>
                <w:color w:val="000000" w:themeColor="text1"/>
              </w:rPr>
              <w:t>līdz četru mēnešu vecumam (59. panta 17. punkts).</w:t>
            </w:r>
            <w:r w:rsidR="00AC4693" w:rsidRPr="00AD78DB">
              <w:rPr>
                <w:color w:val="000000" w:themeColor="text1"/>
              </w:rPr>
              <w:t xml:space="preserve"> </w:t>
            </w:r>
          </w:p>
          <w:p w14:paraId="27B6332F" w14:textId="466BD534" w:rsidR="006637A1" w:rsidRDefault="00D42333" w:rsidP="005C0B33">
            <w:pPr>
              <w:jc w:val="both"/>
              <w:rPr>
                <w:color w:val="000000" w:themeColor="text1"/>
              </w:rPr>
            </w:pPr>
            <w:r w:rsidRPr="005C0B33">
              <w:rPr>
                <w:color w:val="000000" w:themeColor="text1"/>
              </w:rPr>
              <w:t>Veterinārmedicīnas likuma 21.</w:t>
            </w:r>
            <w:r w:rsidR="00C15F64">
              <w:rPr>
                <w:color w:val="000000" w:themeColor="text1"/>
              </w:rPr>
              <w:t xml:space="preserve"> </w:t>
            </w:r>
            <w:r w:rsidRPr="005C0B33">
              <w:rPr>
                <w:color w:val="000000" w:themeColor="text1"/>
              </w:rPr>
              <w:t xml:space="preserve">panta </w:t>
            </w:r>
            <w:r w:rsidR="0009599F">
              <w:rPr>
                <w:color w:val="000000" w:themeColor="text1"/>
              </w:rPr>
              <w:t xml:space="preserve">ceturtā </w:t>
            </w:r>
            <w:r w:rsidRPr="005C0B33">
              <w:rPr>
                <w:color w:val="000000" w:themeColor="text1"/>
              </w:rPr>
              <w:t>daļa paredz, ka praktizējošs veterinārārsts mājas (istabas) dzīvniek</w:t>
            </w:r>
            <w:r w:rsidR="00C15F64">
              <w:rPr>
                <w:color w:val="000000" w:themeColor="text1"/>
              </w:rPr>
              <w:t>u</w:t>
            </w:r>
            <w:r w:rsidRPr="005C0B33">
              <w:rPr>
                <w:color w:val="000000" w:themeColor="text1"/>
              </w:rPr>
              <w:t xml:space="preserve"> apzīmē ar mikroshēmu un izsniedz mājas (istabas) dzīvnieka pasi vai vakcinācijas apliecību. Savukārt mājas (istabas) dzīvnieku reģistrācijas </w:t>
            </w:r>
            <w:r w:rsidR="00333BDE" w:rsidRPr="005C0B33">
              <w:rPr>
                <w:color w:val="000000" w:themeColor="text1"/>
              </w:rPr>
              <w:t>kārtīb</w:t>
            </w:r>
            <w:r w:rsidR="006637A1">
              <w:rPr>
                <w:color w:val="000000" w:themeColor="text1"/>
              </w:rPr>
              <w:t>u</w:t>
            </w:r>
            <w:r w:rsidR="00333BDE" w:rsidRPr="005C0B33">
              <w:rPr>
                <w:color w:val="000000" w:themeColor="text1"/>
              </w:rPr>
              <w:t xml:space="preserve"> </w:t>
            </w:r>
            <w:r w:rsidRPr="005C0B33">
              <w:rPr>
                <w:color w:val="000000" w:themeColor="text1"/>
              </w:rPr>
              <w:t>nosaka noteikumi Nr. 491</w:t>
            </w:r>
            <w:r w:rsidR="001F282D">
              <w:rPr>
                <w:color w:val="000000" w:themeColor="text1"/>
              </w:rPr>
              <w:t>,</w:t>
            </w:r>
            <w:r w:rsidRPr="005C0B33">
              <w:rPr>
                <w:color w:val="000000" w:themeColor="text1"/>
              </w:rPr>
              <w:t xml:space="preserve"> </w:t>
            </w:r>
            <w:r w:rsidR="001F282D">
              <w:rPr>
                <w:color w:val="000000" w:themeColor="text1"/>
              </w:rPr>
              <w:t>kuri</w:t>
            </w:r>
            <w:r w:rsidRPr="005C0B33">
              <w:rPr>
                <w:color w:val="000000" w:themeColor="text1"/>
              </w:rPr>
              <w:t xml:space="preserve"> paredz, ka mājas (istabas) dzīvnieku </w:t>
            </w:r>
            <w:r w:rsidR="00C15F64" w:rsidRPr="002120F2">
              <w:t>datubāz</w:t>
            </w:r>
            <w:r w:rsidR="00C15F64">
              <w:t>ē</w:t>
            </w:r>
            <w:r w:rsidR="00C15F64" w:rsidRPr="005C0B33">
              <w:rPr>
                <w:color w:val="000000" w:themeColor="text1"/>
              </w:rPr>
              <w:t xml:space="preserve"> </w:t>
            </w:r>
            <w:r w:rsidRPr="005C0B33">
              <w:t xml:space="preserve">var </w:t>
            </w:r>
            <w:r w:rsidR="00C15F64" w:rsidRPr="005C0B33">
              <w:rPr>
                <w:color w:val="000000" w:themeColor="text1"/>
              </w:rPr>
              <w:t>reģistr</w:t>
            </w:r>
            <w:r w:rsidR="00C15F64">
              <w:rPr>
                <w:color w:val="000000" w:themeColor="text1"/>
              </w:rPr>
              <w:t>ēt</w:t>
            </w:r>
            <w:r w:rsidR="00C15F64" w:rsidRPr="002120F2">
              <w:t xml:space="preserve"> </w:t>
            </w:r>
            <w:r w:rsidRPr="005C0B33">
              <w:t xml:space="preserve">pie praktizējoša veterinārārsta, vietējā pašvaldībā, datu centrā, izmantojot valsts pārvaldes pakalpojumu portālu </w:t>
            </w:r>
            <w:hyperlink r:id="rId8" w:history="1">
              <w:r w:rsidR="0091648B" w:rsidRPr="005C0B33">
                <w:rPr>
                  <w:rStyle w:val="Hipersaite"/>
                </w:rPr>
                <w:t>www.latvija.lv</w:t>
              </w:r>
            </w:hyperlink>
            <w:r w:rsidRPr="005C0B33">
              <w:t xml:space="preserve"> vai datu centra tīmekļvietnē pieejamo e-pakalpojumu. </w:t>
            </w:r>
            <w:r w:rsidR="0009599F">
              <w:t xml:space="preserve">Situācija, kad </w:t>
            </w:r>
            <w:r w:rsidRPr="005C0B33">
              <w:t xml:space="preserve">dzīvnieka īpašniekam </w:t>
            </w:r>
            <w:r w:rsidR="0009599F">
              <w:t xml:space="preserve">ir </w:t>
            </w:r>
            <w:r w:rsidRPr="005C0B33">
              <w:t>piedāvāt</w:t>
            </w:r>
            <w:r w:rsidR="0009599F">
              <w:t>as</w:t>
            </w:r>
            <w:r w:rsidRPr="005C0B33">
              <w:t xml:space="preserve"> izvēles iespējas, kādā veidā reģistrēt savu dzīvnieku datubāzē, noved pie tā, ka vairākos gadījumos dzīvniek</w:t>
            </w:r>
            <w:r w:rsidR="002B5473">
              <w:t>s</w:t>
            </w:r>
            <w:r w:rsidRPr="005C0B33">
              <w:t xml:space="preserve"> </w:t>
            </w:r>
            <w:r w:rsidR="006127BD">
              <w:lastRenderedPageBreak/>
              <w:t xml:space="preserve">sākotnēji </w:t>
            </w:r>
            <w:r w:rsidRPr="005C0B33">
              <w:t xml:space="preserve">netiek </w:t>
            </w:r>
            <w:r w:rsidR="00E01245">
              <w:t>piereģistrēts. Tam</w:t>
            </w:r>
            <w:r w:rsidR="00DF20D0">
              <w:t xml:space="preserve"> ir dažādi</w:t>
            </w:r>
            <w:r w:rsidRPr="005C0B33">
              <w:t xml:space="preserve"> iemesli, piemēram aizmāršība, cilvēku neizpratne,</w:t>
            </w:r>
            <w:r w:rsidR="00DF20D0">
              <w:t xml:space="preserve"> kā arī nezināšana</w:t>
            </w:r>
            <w:r w:rsidR="00E01245">
              <w:t xml:space="preserve"> par to,</w:t>
            </w:r>
            <w:r w:rsidRPr="005C0B33">
              <w:t xml:space="preserve"> ka dzīvnieka apzīmēšana </w:t>
            </w:r>
            <w:r w:rsidR="006127BD">
              <w:t>v</w:t>
            </w:r>
            <w:r w:rsidR="006637A1">
              <w:t>ē</w:t>
            </w:r>
            <w:r w:rsidR="006127BD">
              <w:t xml:space="preserve">l nenozīmē dzīvnieka reģistrāciju datubāzē. </w:t>
            </w:r>
            <w:r w:rsidRPr="005C0B33">
              <w:t>Dzīvnieka apzīmēšana ar mikroshēmu, bet nereģistrēšana rada tādas pa</w:t>
            </w:r>
            <w:r w:rsidR="00C15F64">
              <w:t>šas</w:t>
            </w:r>
            <w:r w:rsidRPr="005C0B33">
              <w:t xml:space="preserve"> problēmas kā </w:t>
            </w:r>
            <w:r w:rsidRPr="00D763B1">
              <w:rPr>
                <w:color w:val="000000" w:themeColor="text1"/>
              </w:rPr>
              <w:t>neapzīmēšana un ner</w:t>
            </w:r>
            <w:r w:rsidR="00E01245">
              <w:rPr>
                <w:color w:val="000000" w:themeColor="text1"/>
              </w:rPr>
              <w:t>eģistrēšana</w:t>
            </w:r>
            <w:r w:rsidR="00912CF9">
              <w:rPr>
                <w:color w:val="000000" w:themeColor="text1"/>
              </w:rPr>
              <w:t>.</w:t>
            </w:r>
            <w:r w:rsidR="00E01245">
              <w:rPr>
                <w:color w:val="000000" w:themeColor="text1"/>
              </w:rPr>
              <w:t xml:space="preserve"> Lai efektīvāk risinātu</w:t>
            </w:r>
            <w:r w:rsidRPr="00D763B1">
              <w:rPr>
                <w:color w:val="000000" w:themeColor="text1"/>
              </w:rPr>
              <w:t xml:space="preserve"> šīs problēmas</w:t>
            </w:r>
            <w:r w:rsidR="00DF20D0">
              <w:rPr>
                <w:color w:val="000000" w:themeColor="text1"/>
              </w:rPr>
              <w:t>,</w:t>
            </w:r>
            <w:r w:rsidR="00E01245">
              <w:rPr>
                <w:color w:val="000000" w:themeColor="text1"/>
              </w:rPr>
              <w:t xml:space="preserve"> nepieciešams noteikt, ka </w:t>
            </w:r>
            <w:r w:rsidRPr="00D763B1">
              <w:rPr>
                <w:color w:val="000000" w:themeColor="text1"/>
              </w:rPr>
              <w:t>mājas (istabas) dzīvniek</w:t>
            </w:r>
            <w:r w:rsidR="00C15F64">
              <w:rPr>
                <w:color w:val="000000" w:themeColor="text1"/>
              </w:rPr>
              <w:t>u</w:t>
            </w:r>
            <w:r w:rsidRPr="00D763B1">
              <w:rPr>
                <w:color w:val="000000" w:themeColor="text1"/>
              </w:rPr>
              <w:t xml:space="preserve"> apzīmē ar mikroshēmu, mājas (istabas) dzīvnieka pas</w:t>
            </w:r>
            <w:r w:rsidR="00C15F64">
              <w:rPr>
                <w:color w:val="000000" w:themeColor="text1"/>
              </w:rPr>
              <w:t>i</w:t>
            </w:r>
            <w:r w:rsidRPr="00D763B1">
              <w:rPr>
                <w:color w:val="000000" w:themeColor="text1"/>
              </w:rPr>
              <w:t xml:space="preserve"> izsnie</w:t>
            </w:r>
            <w:r w:rsidR="00C15F64">
              <w:rPr>
                <w:color w:val="000000" w:themeColor="text1"/>
              </w:rPr>
              <w:t>dz</w:t>
            </w:r>
            <w:r w:rsidRPr="00D763B1">
              <w:rPr>
                <w:color w:val="000000" w:themeColor="text1"/>
              </w:rPr>
              <w:t xml:space="preserve"> un dzīvniek</w:t>
            </w:r>
            <w:r w:rsidR="00C15F64">
              <w:rPr>
                <w:color w:val="000000" w:themeColor="text1"/>
              </w:rPr>
              <w:t>u</w:t>
            </w:r>
            <w:r w:rsidRPr="00D763B1">
              <w:rPr>
                <w:color w:val="000000" w:themeColor="text1"/>
              </w:rPr>
              <w:t xml:space="preserve"> </w:t>
            </w:r>
            <w:r w:rsidR="00E01245">
              <w:rPr>
                <w:color w:val="000000" w:themeColor="text1"/>
              </w:rPr>
              <w:t>pirm</w:t>
            </w:r>
            <w:r w:rsidR="00C15F64">
              <w:rPr>
                <w:color w:val="000000" w:themeColor="text1"/>
              </w:rPr>
              <w:t xml:space="preserve">o </w:t>
            </w:r>
            <w:r w:rsidR="00E01245">
              <w:rPr>
                <w:color w:val="000000" w:themeColor="text1"/>
              </w:rPr>
              <w:t>reiz</w:t>
            </w:r>
            <w:r w:rsidR="00C15F64">
              <w:rPr>
                <w:color w:val="000000" w:themeColor="text1"/>
              </w:rPr>
              <w:t>i</w:t>
            </w:r>
            <w:r w:rsidR="00E01245">
              <w:rPr>
                <w:color w:val="000000" w:themeColor="text1"/>
              </w:rPr>
              <w:t xml:space="preserve"> reģistr</w:t>
            </w:r>
            <w:r w:rsidR="00C15F64">
              <w:rPr>
                <w:color w:val="000000" w:themeColor="text1"/>
              </w:rPr>
              <w:t>ē</w:t>
            </w:r>
            <w:r w:rsidR="00E01245">
              <w:rPr>
                <w:color w:val="000000" w:themeColor="text1"/>
              </w:rPr>
              <w:t xml:space="preserve"> datubāzē tikai un vienīgi praktiz</w:t>
            </w:r>
            <w:r w:rsidR="002045D2">
              <w:rPr>
                <w:color w:val="000000" w:themeColor="text1"/>
              </w:rPr>
              <w:t xml:space="preserve">ējošs veterinārārsts. </w:t>
            </w:r>
            <w:r w:rsidR="006127BD">
              <w:rPr>
                <w:color w:val="000000" w:themeColor="text1"/>
              </w:rPr>
              <w:t xml:space="preserve">Savukārt  </w:t>
            </w:r>
            <w:r w:rsidR="00061915" w:rsidRPr="007972D3">
              <w:rPr>
                <w:color w:val="000000" w:themeColor="text1"/>
              </w:rPr>
              <w:t>mājas (istabas) dzīvni</w:t>
            </w:r>
            <w:r w:rsidR="00061915">
              <w:rPr>
                <w:color w:val="000000" w:themeColor="text1"/>
              </w:rPr>
              <w:t>eka īpašnieks</w:t>
            </w:r>
            <w:r w:rsidR="00C15F64">
              <w:rPr>
                <w:color w:val="000000" w:themeColor="text1"/>
              </w:rPr>
              <w:t xml:space="preserve"> </w:t>
            </w:r>
            <w:r w:rsidR="00DE6C89">
              <w:rPr>
                <w:color w:val="000000" w:themeColor="text1"/>
              </w:rPr>
              <w:t xml:space="preserve">saskaņā ar </w:t>
            </w:r>
            <w:r w:rsidR="00C15F64">
              <w:rPr>
                <w:color w:val="000000" w:themeColor="text1"/>
              </w:rPr>
              <w:t>pašlaik</w:t>
            </w:r>
            <w:r w:rsidR="00061915">
              <w:rPr>
                <w:color w:val="000000" w:themeColor="text1"/>
              </w:rPr>
              <w:t xml:space="preserve"> spēkā esoš</w:t>
            </w:r>
            <w:r w:rsidR="00DE6C89">
              <w:rPr>
                <w:color w:val="000000" w:themeColor="text1"/>
              </w:rPr>
              <w:t>o</w:t>
            </w:r>
            <w:r w:rsidR="00061915">
              <w:rPr>
                <w:color w:val="000000" w:themeColor="text1"/>
              </w:rPr>
              <w:t xml:space="preserve"> kārtīb</w:t>
            </w:r>
            <w:r w:rsidR="00DE6C89">
              <w:rPr>
                <w:color w:val="000000" w:themeColor="text1"/>
              </w:rPr>
              <w:t>u par mājas (istabas) dzīvnieku reģistrāciju nodrošina informācijas atjaunošanu datubāzē gadījumos, kad nepieciešams</w:t>
            </w:r>
            <w:r w:rsidR="00061915">
              <w:rPr>
                <w:color w:val="000000" w:themeColor="text1"/>
              </w:rPr>
              <w:t xml:space="preserve"> </w:t>
            </w:r>
            <w:r w:rsidR="00DE6C89">
              <w:rPr>
                <w:color w:val="000000" w:themeColor="text1"/>
              </w:rPr>
              <w:t>reģistrēt</w:t>
            </w:r>
            <w:r w:rsidR="00061915" w:rsidRPr="007972D3">
              <w:rPr>
                <w:color w:val="000000" w:themeColor="text1"/>
              </w:rPr>
              <w:t xml:space="preserve"> mājas (istabas) dzīvnieka turēša</w:t>
            </w:r>
            <w:r w:rsidR="00061915">
              <w:rPr>
                <w:color w:val="000000" w:themeColor="text1"/>
              </w:rPr>
              <w:t>nas vietas maiņu,</w:t>
            </w:r>
            <w:r w:rsidR="00DE6C89" w:rsidRPr="007972D3">
              <w:rPr>
                <w:color w:val="000000" w:themeColor="text1"/>
              </w:rPr>
              <w:t xml:space="preserve"> īpašnieka</w:t>
            </w:r>
            <w:r w:rsidR="00DE6C89">
              <w:rPr>
                <w:color w:val="000000" w:themeColor="text1"/>
              </w:rPr>
              <w:t xml:space="preserve"> vai turētāja maiņu, dzīvnieka nāvi, pazušanu vai atrašanu.</w:t>
            </w:r>
          </w:p>
          <w:p w14:paraId="654B78C0" w14:textId="00D7687C" w:rsidR="00D42333" w:rsidRPr="005C0B33" w:rsidRDefault="000F1560" w:rsidP="005C0B33">
            <w:pPr>
              <w:jc w:val="both"/>
            </w:pPr>
            <w:r>
              <w:rPr>
                <w:color w:val="000000" w:themeColor="text1"/>
              </w:rPr>
              <w:t xml:space="preserve">Vienlaikus </w:t>
            </w:r>
            <w:r w:rsidR="00C15F64">
              <w:rPr>
                <w:color w:val="000000" w:themeColor="text1"/>
              </w:rPr>
              <w:t>ir jā</w:t>
            </w:r>
            <w:r>
              <w:rPr>
                <w:color w:val="000000" w:themeColor="text1"/>
              </w:rPr>
              <w:t xml:space="preserve">paredz, ka </w:t>
            </w:r>
            <w:r w:rsidR="00C15F64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>inistru kabinets nosaka maksas apmēru un samaksas kārtību par dzīvnieka reģistrāciju datubāzē.</w:t>
            </w:r>
            <w:r w:rsidR="00D42333" w:rsidRPr="00D763B1">
              <w:rPr>
                <w:color w:val="000000" w:themeColor="text1"/>
              </w:rPr>
              <w:t xml:space="preserve"> </w:t>
            </w:r>
          </w:p>
          <w:p w14:paraId="0C9528AF" w14:textId="568277B0" w:rsidR="00EC0C84" w:rsidRPr="00AD78DB" w:rsidRDefault="00093082" w:rsidP="005D16B0">
            <w:pPr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 xml:space="preserve">No </w:t>
            </w:r>
            <w:r w:rsidR="000C0DE4" w:rsidRPr="00AD78DB">
              <w:rPr>
                <w:color w:val="000000" w:themeColor="text1"/>
              </w:rPr>
              <w:t>2020. gada 1. jūlij</w:t>
            </w:r>
            <w:r w:rsidRPr="00AD78DB">
              <w:rPr>
                <w:color w:val="000000" w:themeColor="text1"/>
              </w:rPr>
              <w:t>a</w:t>
            </w:r>
            <w:r w:rsidR="000C0DE4" w:rsidRPr="00AD78DB">
              <w:rPr>
                <w:color w:val="000000" w:themeColor="text1"/>
              </w:rPr>
              <w:t xml:space="preserve"> vairs nav paredzēts administratīvais sods par dzīvnieka nereģistrēšanu.</w:t>
            </w:r>
            <w:r w:rsidR="00421B33">
              <w:rPr>
                <w:color w:val="000000" w:themeColor="text1"/>
              </w:rPr>
              <w:t xml:space="preserve"> Tikai dažu pašvaldību saistošajos noteikumos ir paredzēta administratīvā atbildība par dzīvnieka nereģistrēšanu un neapzīmēšanu. Šīm pašvaldībām būs nepieciešams precizēt saistošos noteikumus atbilstoši likumam.</w:t>
            </w:r>
            <w:r w:rsidR="000C0DE4" w:rsidRPr="00AD78DB">
              <w:rPr>
                <w:color w:val="000000" w:themeColor="text1"/>
              </w:rPr>
              <w:t xml:space="preserve"> </w:t>
            </w:r>
            <w:r w:rsidRPr="00AD78DB">
              <w:rPr>
                <w:color w:val="000000" w:themeColor="text1"/>
              </w:rPr>
              <w:t>K</w:t>
            </w:r>
            <w:r w:rsidR="009707FD" w:rsidRPr="00AD78DB">
              <w:rPr>
                <w:color w:val="000000" w:themeColor="text1"/>
              </w:rPr>
              <w:t>ontroles institūcija</w:t>
            </w:r>
            <w:r w:rsidR="00D9685B" w:rsidRPr="00AD78DB">
              <w:rPr>
                <w:color w:val="000000" w:themeColor="text1"/>
              </w:rPr>
              <w:t xml:space="preserve"> (vietējā pašvaldība vai dienests)</w:t>
            </w:r>
            <w:r w:rsidR="009707FD" w:rsidRPr="00AD78DB">
              <w:rPr>
                <w:color w:val="000000" w:themeColor="text1"/>
              </w:rPr>
              <w:t xml:space="preserve"> ir tiesīga izdot administratīvo aktu, kas uzliek par pienākumu novērst pārkāpumu atbilstoši Administratīvā procesa likumam. </w:t>
            </w:r>
            <w:r w:rsidR="00EC0C84" w:rsidRPr="00AD78DB">
              <w:rPr>
                <w:color w:val="000000" w:themeColor="text1"/>
              </w:rPr>
              <w:t>Tomēr Administratīvā procesa likuma piemērošana nav efektīva gadījumos</w:t>
            </w:r>
            <w:r w:rsidR="000B7928" w:rsidRPr="00AD78DB">
              <w:rPr>
                <w:color w:val="000000" w:themeColor="text1"/>
              </w:rPr>
              <w:t>,</w:t>
            </w:r>
            <w:r w:rsidR="00EC0C84" w:rsidRPr="00AD78DB">
              <w:rPr>
                <w:color w:val="000000" w:themeColor="text1"/>
              </w:rPr>
              <w:t xml:space="preserve"> kad nav iespējams noskaidrot personu, k</w:t>
            </w:r>
            <w:r w:rsidR="00C15F64">
              <w:rPr>
                <w:color w:val="000000" w:themeColor="text1"/>
              </w:rPr>
              <w:t>as</w:t>
            </w:r>
            <w:r w:rsidR="00EC0C84" w:rsidRPr="00AD78DB">
              <w:rPr>
                <w:color w:val="000000" w:themeColor="text1"/>
              </w:rPr>
              <w:t xml:space="preserve"> </w:t>
            </w:r>
            <w:r w:rsidR="00C15F64">
              <w:rPr>
                <w:color w:val="000000" w:themeColor="text1"/>
              </w:rPr>
              <w:t>ir</w:t>
            </w:r>
            <w:r w:rsidR="00C15F64" w:rsidRPr="00AD78DB">
              <w:rPr>
                <w:color w:val="000000" w:themeColor="text1"/>
              </w:rPr>
              <w:t xml:space="preserve"> </w:t>
            </w:r>
            <w:r w:rsidR="00EC0C84" w:rsidRPr="00AD78DB">
              <w:rPr>
                <w:color w:val="000000" w:themeColor="text1"/>
              </w:rPr>
              <w:t xml:space="preserve">atbildīga par dzīvnieka reģistrāciju (faktiskais īpašnieks vai faktiskais valdītājs). </w:t>
            </w:r>
            <w:r w:rsidR="00C15F64">
              <w:rPr>
                <w:color w:val="000000" w:themeColor="text1"/>
              </w:rPr>
              <w:t>Pildot</w:t>
            </w:r>
            <w:r w:rsidR="00EC0C84" w:rsidRPr="00AD78DB">
              <w:rPr>
                <w:color w:val="000000" w:themeColor="text1"/>
              </w:rPr>
              <w:t xml:space="preserve"> kontroles un uzraudzības funkcijas</w:t>
            </w:r>
            <w:r w:rsidR="00C15F64">
              <w:rPr>
                <w:color w:val="000000" w:themeColor="text1"/>
              </w:rPr>
              <w:t>,</w:t>
            </w:r>
            <w:r w:rsidR="00EC0C84" w:rsidRPr="00AD78DB">
              <w:rPr>
                <w:color w:val="000000" w:themeColor="text1"/>
              </w:rPr>
              <w:t xml:space="preserve"> policijai nav iespējams piemērot Administratīvā procesa likum</w:t>
            </w:r>
            <w:r w:rsidR="00C15F64">
              <w:rPr>
                <w:color w:val="000000" w:themeColor="text1"/>
              </w:rPr>
              <w:t>a prasības</w:t>
            </w:r>
            <w:r w:rsidR="00EC0C84" w:rsidRPr="00AD78DB">
              <w:rPr>
                <w:color w:val="000000" w:themeColor="text1"/>
              </w:rPr>
              <w:t xml:space="preserve"> bez primārās stadijas izpildes – atbildīgās personas </w:t>
            </w:r>
            <w:r w:rsidR="00C15F64">
              <w:rPr>
                <w:color w:val="000000" w:themeColor="text1"/>
              </w:rPr>
              <w:t>jeb</w:t>
            </w:r>
            <w:r w:rsidR="00EC0C84" w:rsidRPr="00AD78DB">
              <w:rPr>
                <w:color w:val="000000" w:themeColor="text1"/>
              </w:rPr>
              <w:t xml:space="preserve"> adresāta noskaidrošanas.</w:t>
            </w:r>
          </w:p>
          <w:p w14:paraId="514686CF" w14:textId="2C89ED72" w:rsidR="00EC0C84" w:rsidRPr="00AD78DB" w:rsidRDefault="00C15F64" w:rsidP="00490F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AD78DB">
              <w:rPr>
                <w:color w:val="000000" w:themeColor="text1"/>
              </w:rPr>
              <w:t>atubāzē</w:t>
            </w:r>
            <w:r>
              <w:rPr>
                <w:color w:val="000000" w:themeColor="text1"/>
              </w:rPr>
              <w:t xml:space="preserve"> ievadāmie d</w:t>
            </w:r>
            <w:r w:rsidR="00EC0C84" w:rsidRPr="00AD78DB">
              <w:rPr>
                <w:color w:val="000000" w:themeColor="text1"/>
              </w:rPr>
              <w:t>ati par</w:t>
            </w:r>
            <w:r w:rsidR="00CE15A7" w:rsidRPr="00AD78DB">
              <w:rPr>
                <w:color w:val="000000" w:themeColor="text1"/>
              </w:rPr>
              <w:t xml:space="preserve"> īpašniekiem</w:t>
            </w:r>
            <w:r>
              <w:rPr>
                <w:color w:val="000000" w:themeColor="text1"/>
              </w:rPr>
              <w:t xml:space="preserve"> </w:t>
            </w:r>
            <w:r w:rsidR="00EC0C84" w:rsidRPr="00041724">
              <w:rPr>
                <w:color w:val="000000" w:themeColor="text1"/>
              </w:rPr>
              <w:t xml:space="preserve">tiek </w:t>
            </w:r>
            <w:r w:rsidR="00F73F02">
              <w:rPr>
                <w:color w:val="000000" w:themeColor="text1"/>
              </w:rPr>
              <w:t xml:space="preserve">saņemti no </w:t>
            </w:r>
            <w:r w:rsidR="00EC0C84" w:rsidRPr="00041724">
              <w:rPr>
                <w:color w:val="000000" w:themeColor="text1"/>
              </w:rPr>
              <w:t>suņa īpašniek</w:t>
            </w:r>
            <w:r>
              <w:rPr>
                <w:color w:val="000000" w:themeColor="text1"/>
              </w:rPr>
              <w:t>a</w:t>
            </w:r>
            <w:r w:rsidR="00CE15A7" w:rsidRPr="00AD78DB">
              <w:rPr>
                <w:color w:val="000000" w:themeColor="text1"/>
              </w:rPr>
              <w:t>. Praksē</w:t>
            </w:r>
            <w:r w:rsidR="00E77699">
              <w:rPr>
                <w:color w:val="000000" w:themeColor="text1"/>
              </w:rPr>
              <w:t>,</w:t>
            </w:r>
            <w:r w:rsidR="00CE15A7" w:rsidRPr="00AD78DB">
              <w:rPr>
                <w:color w:val="000000" w:themeColor="text1"/>
              </w:rPr>
              <w:t xml:space="preserve"> </w:t>
            </w:r>
            <w:r w:rsidR="00E77699">
              <w:rPr>
                <w:color w:val="000000" w:themeColor="text1"/>
              </w:rPr>
              <w:t>lai noskaidrotu</w:t>
            </w:r>
            <w:r w:rsidR="00E77699" w:rsidRPr="00AD78DB">
              <w:rPr>
                <w:color w:val="000000" w:themeColor="text1"/>
              </w:rPr>
              <w:t xml:space="preserve"> administratīvā akta adresātu</w:t>
            </w:r>
            <w:r w:rsidR="00E77699">
              <w:rPr>
                <w:color w:val="000000" w:themeColor="text1"/>
              </w:rPr>
              <w:t>,</w:t>
            </w:r>
            <w:r w:rsidR="00E77699" w:rsidRPr="00AD78DB">
              <w:rPr>
                <w:color w:val="000000" w:themeColor="text1"/>
              </w:rPr>
              <w:t xml:space="preserve"> </w:t>
            </w:r>
            <w:r w:rsidR="00CE15A7" w:rsidRPr="00AD78DB">
              <w:rPr>
                <w:color w:val="000000" w:themeColor="text1"/>
              </w:rPr>
              <w:t>policijas darbiniekiem</w:t>
            </w:r>
            <w:r w:rsidR="00EC0C84" w:rsidRPr="00AD78DB">
              <w:rPr>
                <w:color w:val="000000" w:themeColor="text1"/>
              </w:rPr>
              <w:t xml:space="preserve"> publiskā vietā </w:t>
            </w:r>
            <w:r w:rsidR="00E77699" w:rsidRPr="00AD78DB">
              <w:rPr>
                <w:color w:val="000000" w:themeColor="text1"/>
              </w:rPr>
              <w:t xml:space="preserve">satiekot </w:t>
            </w:r>
            <w:r w:rsidR="00EC0C84" w:rsidRPr="00AD78DB">
              <w:rPr>
                <w:color w:val="000000" w:themeColor="text1"/>
              </w:rPr>
              <w:t>personu ar nereģistrētu suni (kam nav mikroshēmas), ir jānoskaidro</w:t>
            </w:r>
            <w:r w:rsidR="00CE15A7" w:rsidRPr="00AD78DB">
              <w:rPr>
                <w:color w:val="000000" w:themeColor="text1"/>
              </w:rPr>
              <w:t>,</w:t>
            </w:r>
            <w:r w:rsidR="00EC0C84" w:rsidRPr="00AD78DB">
              <w:rPr>
                <w:color w:val="000000" w:themeColor="text1"/>
              </w:rPr>
              <w:t xml:space="preserve"> </w:t>
            </w:r>
            <w:r w:rsidR="00CE15A7" w:rsidRPr="00AD78DB">
              <w:rPr>
                <w:color w:val="000000" w:themeColor="text1"/>
              </w:rPr>
              <w:t>vai</w:t>
            </w:r>
            <w:r w:rsidR="00EC0C84" w:rsidRPr="00AD78DB">
              <w:rPr>
                <w:color w:val="000000" w:themeColor="text1"/>
              </w:rPr>
              <w:t xml:space="preserve"> persona, k</w:t>
            </w:r>
            <w:r w:rsidR="00E77699">
              <w:rPr>
                <w:color w:val="000000" w:themeColor="text1"/>
              </w:rPr>
              <w:t>as</w:t>
            </w:r>
            <w:r w:rsidR="00EC0C84" w:rsidRPr="00AD78DB">
              <w:rPr>
                <w:color w:val="000000" w:themeColor="text1"/>
              </w:rPr>
              <w:t xml:space="preserve"> suni</w:t>
            </w:r>
            <w:r w:rsidR="00E77699" w:rsidRPr="00AD78DB">
              <w:rPr>
                <w:color w:val="000000" w:themeColor="text1"/>
              </w:rPr>
              <w:t xml:space="preserve"> izvedusi pastaigā</w:t>
            </w:r>
            <w:r w:rsidR="00EC0C84" w:rsidRPr="00AD78DB">
              <w:rPr>
                <w:color w:val="000000" w:themeColor="text1"/>
              </w:rPr>
              <w:t>, ir š</w:t>
            </w:r>
            <w:r w:rsidR="00E77699">
              <w:rPr>
                <w:color w:val="000000" w:themeColor="text1"/>
              </w:rPr>
              <w:t>ā</w:t>
            </w:r>
            <w:r w:rsidR="00EC0C84" w:rsidRPr="00AD78DB">
              <w:rPr>
                <w:color w:val="000000" w:themeColor="text1"/>
              </w:rPr>
              <w:t xml:space="preserve"> dzīvnieka faktisk</w:t>
            </w:r>
            <w:r w:rsidR="00E77699">
              <w:rPr>
                <w:color w:val="000000" w:themeColor="text1"/>
              </w:rPr>
              <w:t>ā</w:t>
            </w:r>
            <w:r w:rsidR="00EC0C84" w:rsidRPr="00AD78DB">
              <w:rPr>
                <w:color w:val="000000" w:themeColor="text1"/>
              </w:rPr>
              <w:t xml:space="preserve"> īpašnie</w:t>
            </w:r>
            <w:r w:rsidR="00E77699">
              <w:rPr>
                <w:color w:val="000000" w:themeColor="text1"/>
              </w:rPr>
              <w:t>ce</w:t>
            </w:r>
            <w:r w:rsidR="00EC0C84" w:rsidRPr="00AD78DB">
              <w:rPr>
                <w:color w:val="000000" w:themeColor="text1"/>
              </w:rPr>
              <w:t>, kura</w:t>
            </w:r>
            <w:r w:rsidR="00E77699">
              <w:rPr>
                <w:color w:val="000000" w:themeColor="text1"/>
              </w:rPr>
              <w:t>i</w:t>
            </w:r>
            <w:r w:rsidR="00EC0C84" w:rsidRPr="00AD78DB">
              <w:rPr>
                <w:color w:val="000000" w:themeColor="text1"/>
              </w:rPr>
              <w:t xml:space="preserve"> ir pienākums suni reģistrēt. Diemžēl ir novēroti vairāki paņēmieni, kā personas mēģina izvairīties no atbildības vai apgrūtināt administratīvā procesa norisi. Policijas darbiniekiem tiek skaidrots, ka šis ir kādas paziņas suns vai </w:t>
            </w:r>
            <w:r w:rsidR="002E54F4" w:rsidRPr="00AD78DB">
              <w:rPr>
                <w:color w:val="000000" w:themeColor="text1"/>
              </w:rPr>
              <w:t xml:space="preserve">arī </w:t>
            </w:r>
            <w:r w:rsidR="00E77699">
              <w:rPr>
                <w:color w:val="000000" w:themeColor="text1"/>
              </w:rPr>
              <w:t>ka tas</w:t>
            </w:r>
            <w:r w:rsidR="00EC0C84" w:rsidRPr="00AD78DB">
              <w:rPr>
                <w:color w:val="000000" w:themeColor="text1"/>
              </w:rPr>
              <w:t xml:space="preserve"> ir pieklīdis</w:t>
            </w:r>
            <w:r w:rsidR="002E54F4" w:rsidRPr="00AD78DB">
              <w:rPr>
                <w:color w:val="000000" w:themeColor="text1"/>
              </w:rPr>
              <w:t>,</w:t>
            </w:r>
            <w:r w:rsidR="00EC0C84" w:rsidRPr="00AD78DB">
              <w:rPr>
                <w:color w:val="000000" w:themeColor="text1"/>
              </w:rPr>
              <w:t xml:space="preserve"> vai sniegti citi skaidrojumi, </w:t>
            </w:r>
            <w:r w:rsidR="002E54F4" w:rsidRPr="00AD78DB">
              <w:rPr>
                <w:color w:val="000000" w:themeColor="text1"/>
              </w:rPr>
              <w:t>kādēļ</w:t>
            </w:r>
            <w:r w:rsidR="00EC0C84" w:rsidRPr="00AD78DB">
              <w:rPr>
                <w:color w:val="000000" w:themeColor="text1"/>
              </w:rPr>
              <w:t xml:space="preserve"> konkrēti šai personai nav saistošs pienākums reģistrēt suni. </w:t>
            </w:r>
            <w:r w:rsidR="00E77699">
              <w:rPr>
                <w:color w:val="000000" w:themeColor="text1"/>
              </w:rPr>
              <w:t>Būtībā</w:t>
            </w:r>
            <w:r w:rsidR="00EC0C84" w:rsidRPr="00AD78DB">
              <w:rPr>
                <w:color w:val="000000" w:themeColor="text1"/>
              </w:rPr>
              <w:t xml:space="preserve"> brīdī, kamēr vēl nav pier</w:t>
            </w:r>
            <w:r w:rsidR="0034487D">
              <w:rPr>
                <w:color w:val="000000" w:themeColor="text1"/>
              </w:rPr>
              <w:t>ā</w:t>
            </w:r>
            <w:r w:rsidR="00EC0C84" w:rsidRPr="00AD78DB">
              <w:rPr>
                <w:color w:val="000000" w:themeColor="text1"/>
              </w:rPr>
              <w:t>dīts, ka konkrētai personai ir likumā minētie pienākumi pret dzīvnieku, personai ir liecinieka status</w:t>
            </w:r>
            <w:r w:rsidR="00E77699">
              <w:rPr>
                <w:color w:val="000000" w:themeColor="text1"/>
              </w:rPr>
              <w:t>s</w:t>
            </w:r>
            <w:r w:rsidR="00EC0C84" w:rsidRPr="00AD78DB">
              <w:rPr>
                <w:color w:val="000000" w:themeColor="text1"/>
              </w:rPr>
              <w:t xml:space="preserve">. Administratīvā procesa likums neparedz iestādei </w:t>
            </w:r>
            <w:r w:rsidR="00CE15A7" w:rsidRPr="00AD78DB">
              <w:rPr>
                <w:color w:val="000000" w:themeColor="text1"/>
              </w:rPr>
              <w:t>tādu procesuālo darbību kā</w:t>
            </w:r>
            <w:r w:rsidR="00EC0C84" w:rsidRPr="00AD78DB">
              <w:rPr>
                <w:color w:val="000000" w:themeColor="text1"/>
              </w:rPr>
              <w:t xml:space="preserve"> liecinieka brīdināšan</w:t>
            </w:r>
            <w:r w:rsidR="00E77699">
              <w:rPr>
                <w:color w:val="000000" w:themeColor="text1"/>
              </w:rPr>
              <w:t>a</w:t>
            </w:r>
            <w:r w:rsidR="00EC0C84" w:rsidRPr="00AD78DB">
              <w:rPr>
                <w:color w:val="000000" w:themeColor="text1"/>
              </w:rPr>
              <w:t xml:space="preserve"> par kriminālatbildību par </w:t>
            </w:r>
            <w:r w:rsidR="00CE15A7" w:rsidRPr="00AD78DB">
              <w:rPr>
                <w:color w:val="000000" w:themeColor="text1"/>
              </w:rPr>
              <w:t>apzināti nepatiesas</w:t>
            </w:r>
            <w:r w:rsidR="00EC0C84" w:rsidRPr="00AD78DB">
              <w:rPr>
                <w:color w:val="000000" w:themeColor="text1"/>
              </w:rPr>
              <w:t xml:space="preserve"> liecības sniegšanu vai par atteikšanos liecināt. To var tikai tiesa, </w:t>
            </w:r>
            <w:r w:rsidR="00E77699">
              <w:rPr>
                <w:color w:val="000000" w:themeColor="text1"/>
              </w:rPr>
              <w:t>tāpēc</w:t>
            </w:r>
            <w:r w:rsidR="00EC0C84" w:rsidRPr="00AD78DB">
              <w:rPr>
                <w:color w:val="000000" w:themeColor="text1"/>
              </w:rPr>
              <w:t xml:space="preserve"> </w:t>
            </w:r>
            <w:r w:rsidR="00CE15A7" w:rsidRPr="00AD78DB">
              <w:rPr>
                <w:color w:val="000000" w:themeColor="text1"/>
              </w:rPr>
              <w:t>policijas</w:t>
            </w:r>
            <w:r w:rsidR="00EC0C84" w:rsidRPr="00AD78DB">
              <w:rPr>
                <w:color w:val="000000" w:themeColor="text1"/>
              </w:rPr>
              <w:t xml:space="preserve"> rīcībā nav mehānisma, kā noskaidrot nereģistrēta dzīvnieka īpašnieku</w:t>
            </w:r>
            <w:r w:rsidR="00E77699">
              <w:rPr>
                <w:color w:val="000000" w:themeColor="text1"/>
              </w:rPr>
              <w:t>,</w:t>
            </w:r>
            <w:r w:rsidR="00EC0C84" w:rsidRPr="00AD78DB">
              <w:rPr>
                <w:color w:val="000000" w:themeColor="text1"/>
              </w:rPr>
              <w:t xml:space="preserve"> un, </w:t>
            </w:r>
            <w:r w:rsidR="00E77699">
              <w:rPr>
                <w:color w:val="000000" w:themeColor="text1"/>
              </w:rPr>
              <w:t>tā kā</w:t>
            </w:r>
            <w:r w:rsidR="002E54F4" w:rsidRPr="00AD78DB">
              <w:rPr>
                <w:color w:val="000000" w:themeColor="text1"/>
              </w:rPr>
              <w:t xml:space="preserve"> likums neparedz datubāzē</w:t>
            </w:r>
            <w:r w:rsidR="00EC0C84" w:rsidRPr="00AD78DB">
              <w:rPr>
                <w:color w:val="000000" w:themeColor="text1"/>
              </w:rPr>
              <w:t xml:space="preserve"> </w:t>
            </w:r>
            <w:r w:rsidR="00EC0C84" w:rsidRPr="00AD78DB">
              <w:rPr>
                <w:color w:val="000000" w:themeColor="text1"/>
              </w:rPr>
              <w:lastRenderedPageBreak/>
              <w:t xml:space="preserve">nereģistrēta dzīvnieka izņemšanu piespiedu kārtā, kontrolējošo iestāžu rīcības iespējas ir </w:t>
            </w:r>
            <w:r w:rsidR="00E77699">
              <w:rPr>
                <w:color w:val="000000" w:themeColor="text1"/>
              </w:rPr>
              <w:t>visai ierobežotas</w:t>
            </w:r>
            <w:r w:rsidR="00EC0C84" w:rsidRPr="00AD78DB">
              <w:rPr>
                <w:color w:val="000000" w:themeColor="text1"/>
              </w:rPr>
              <w:t xml:space="preserve">. </w:t>
            </w:r>
          </w:p>
          <w:p w14:paraId="19AE86BF" w14:textId="7146F195" w:rsidR="00EC0C84" w:rsidRPr="00AD78DB" w:rsidRDefault="00EC0C84" w:rsidP="005C0B33">
            <w:pPr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 xml:space="preserve">Savukārt tiesības nopratināt liecinieku amatpersonai paredz Administratīvās atbildības likums. Darbojoties kopsakarā ar liecinieka brīdinājumu par </w:t>
            </w:r>
            <w:r w:rsidR="00E77699">
              <w:rPr>
                <w:color w:val="000000" w:themeColor="text1"/>
              </w:rPr>
              <w:t>k</w:t>
            </w:r>
            <w:r w:rsidRPr="00AD78DB">
              <w:rPr>
                <w:color w:val="000000" w:themeColor="text1"/>
              </w:rPr>
              <w:t xml:space="preserve">riminālatbildību </w:t>
            </w:r>
            <w:r w:rsidR="00E77699">
              <w:rPr>
                <w:color w:val="000000" w:themeColor="text1"/>
              </w:rPr>
              <w:t xml:space="preserve">pēc </w:t>
            </w:r>
            <w:r w:rsidRPr="00AD78DB">
              <w:rPr>
                <w:color w:val="000000" w:themeColor="text1"/>
              </w:rPr>
              <w:t>nepatiesas informācijas sniegšanas</w:t>
            </w:r>
            <w:r w:rsidR="00E77699">
              <w:rPr>
                <w:color w:val="000000" w:themeColor="text1"/>
              </w:rPr>
              <w:t>,</w:t>
            </w:r>
            <w:r w:rsidRPr="00AD78DB">
              <w:rPr>
                <w:color w:val="000000" w:themeColor="text1"/>
              </w:rPr>
              <w:t xml:space="preserve"> šī procedūra </w:t>
            </w:r>
            <w:r w:rsidR="00E77699">
              <w:rPr>
                <w:color w:val="000000" w:themeColor="text1"/>
              </w:rPr>
              <w:t>dod</w:t>
            </w:r>
            <w:r w:rsidR="009F51FC" w:rsidRPr="00AD78DB">
              <w:rPr>
                <w:color w:val="000000" w:themeColor="text1"/>
              </w:rPr>
              <w:t xml:space="preserve"> iespēju</w:t>
            </w:r>
            <w:r w:rsidRPr="00AD78DB">
              <w:rPr>
                <w:color w:val="000000" w:themeColor="text1"/>
              </w:rPr>
              <w:t xml:space="preserve"> noskaidrot personu, k</w:t>
            </w:r>
            <w:r w:rsidR="00E77699">
              <w:rPr>
                <w:color w:val="000000" w:themeColor="text1"/>
              </w:rPr>
              <w:t>as</w:t>
            </w:r>
            <w:r w:rsidRPr="00AD78DB">
              <w:rPr>
                <w:color w:val="000000" w:themeColor="text1"/>
              </w:rPr>
              <w:t xml:space="preserve"> ir faktisk</w:t>
            </w:r>
            <w:r w:rsidR="00E77699">
              <w:rPr>
                <w:color w:val="000000" w:themeColor="text1"/>
              </w:rPr>
              <w:t>ā</w:t>
            </w:r>
            <w:r w:rsidRPr="00AD78DB">
              <w:rPr>
                <w:color w:val="000000" w:themeColor="text1"/>
              </w:rPr>
              <w:t xml:space="preserve"> dzīvnieka īpašnie</w:t>
            </w:r>
            <w:r w:rsidR="00E77699">
              <w:rPr>
                <w:color w:val="000000" w:themeColor="text1"/>
              </w:rPr>
              <w:t>ce</w:t>
            </w:r>
            <w:r w:rsidRPr="00AD78DB">
              <w:rPr>
                <w:color w:val="000000" w:themeColor="text1"/>
              </w:rPr>
              <w:t xml:space="preserve">. </w:t>
            </w:r>
            <w:r w:rsidR="00E77699">
              <w:rPr>
                <w:color w:val="000000" w:themeColor="text1"/>
              </w:rPr>
              <w:t>Turklāt</w:t>
            </w:r>
            <w:r w:rsidRPr="00AD78DB">
              <w:rPr>
                <w:color w:val="000000" w:themeColor="text1"/>
              </w:rPr>
              <w:t xml:space="preserve"> Administratīvās atbildības likums paredz arī tādu izmeklēšanas darbību kā aptauj</w:t>
            </w:r>
            <w:r w:rsidR="00E77699">
              <w:rPr>
                <w:color w:val="000000" w:themeColor="text1"/>
              </w:rPr>
              <w:t>a</w:t>
            </w:r>
            <w:r w:rsidRPr="00AD78DB">
              <w:rPr>
                <w:color w:val="000000" w:themeColor="text1"/>
              </w:rPr>
              <w:t xml:space="preserve">. </w:t>
            </w:r>
            <w:r w:rsidR="00E77699">
              <w:rPr>
                <w:color w:val="000000" w:themeColor="text1"/>
              </w:rPr>
              <w:t>Tā</w:t>
            </w:r>
            <w:r w:rsidRPr="00AD78DB">
              <w:rPr>
                <w:color w:val="000000" w:themeColor="text1"/>
              </w:rPr>
              <w:t xml:space="preserve"> tiek </w:t>
            </w:r>
            <w:r w:rsidR="00E77699">
              <w:rPr>
                <w:color w:val="000000" w:themeColor="text1"/>
              </w:rPr>
              <w:t>īstenota tad</w:t>
            </w:r>
            <w:r w:rsidRPr="00AD78DB">
              <w:rPr>
                <w:color w:val="000000" w:themeColor="text1"/>
              </w:rPr>
              <w:t>, kad policijas darbinieki konstatē dzīvnieku, k</w:t>
            </w:r>
            <w:r w:rsidR="00E77699">
              <w:rPr>
                <w:color w:val="000000" w:themeColor="text1"/>
              </w:rPr>
              <w:t>as</w:t>
            </w:r>
            <w:r w:rsidRPr="00AD78DB">
              <w:rPr>
                <w:color w:val="000000" w:themeColor="text1"/>
              </w:rPr>
              <w:t xml:space="preserve"> ir</w:t>
            </w:r>
            <w:r w:rsidR="006F3E04" w:rsidRPr="00AD78DB">
              <w:rPr>
                <w:color w:val="000000" w:themeColor="text1"/>
              </w:rPr>
              <w:t xml:space="preserve"> apzīmēts ar mikroshēmu</w:t>
            </w:r>
            <w:r w:rsidRPr="00AD78DB">
              <w:rPr>
                <w:color w:val="000000" w:themeColor="text1"/>
              </w:rPr>
              <w:t xml:space="preserve">, bet nav reģistrēts </w:t>
            </w:r>
            <w:r w:rsidR="006F3E04" w:rsidRPr="00AD78DB">
              <w:rPr>
                <w:color w:val="000000" w:themeColor="text1"/>
              </w:rPr>
              <w:t>datubāzē</w:t>
            </w:r>
            <w:r w:rsidRPr="00AD78DB">
              <w:rPr>
                <w:color w:val="000000" w:themeColor="text1"/>
              </w:rPr>
              <w:t xml:space="preserve">. Šādos gadījumos Administratīvās atbildības likuma kārtībā var </w:t>
            </w:r>
            <w:r w:rsidR="00E77699">
              <w:rPr>
                <w:color w:val="000000" w:themeColor="text1"/>
              </w:rPr>
              <w:t>aptaujāt</w:t>
            </w:r>
            <w:r w:rsidRPr="00AD78DB">
              <w:rPr>
                <w:color w:val="000000" w:themeColor="text1"/>
              </w:rPr>
              <w:t xml:space="preserve"> piegulošo māju iedzīvotāju</w:t>
            </w:r>
            <w:r w:rsidR="00E77699">
              <w:rPr>
                <w:color w:val="000000" w:themeColor="text1"/>
              </w:rPr>
              <w:t>s, lai</w:t>
            </w:r>
            <w:r w:rsidRPr="00AD78DB">
              <w:rPr>
                <w:color w:val="000000" w:themeColor="text1"/>
              </w:rPr>
              <w:t xml:space="preserve"> noskaidrot</w:t>
            </w:r>
            <w:r w:rsidR="00E77699">
              <w:rPr>
                <w:color w:val="000000" w:themeColor="text1"/>
              </w:rPr>
              <w:t>u</w:t>
            </w:r>
            <w:r w:rsidRPr="00AD78DB">
              <w:rPr>
                <w:color w:val="000000" w:themeColor="text1"/>
              </w:rPr>
              <w:t xml:space="preserve"> suņa īpašnieka pazīmes vai dzīvesvietu.</w:t>
            </w:r>
          </w:p>
          <w:p w14:paraId="5C1A24C7" w14:textId="3422033D" w:rsidR="00EC0C84" w:rsidRPr="00AD78DB" w:rsidRDefault="00EC0C84" w:rsidP="005C0B33">
            <w:pPr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>Sodu piemērošanas procedūra Administratīvās atbildības likuma kārtībā arī ļauj pilnvērtīgi ie</w:t>
            </w:r>
            <w:r w:rsidR="00E77699">
              <w:rPr>
                <w:color w:val="000000" w:themeColor="text1"/>
              </w:rPr>
              <w:t>tekmēt</w:t>
            </w:r>
            <w:r w:rsidRPr="00AD78DB">
              <w:rPr>
                <w:color w:val="000000" w:themeColor="text1"/>
              </w:rPr>
              <w:t xml:space="preserve"> vainīgo personu. </w:t>
            </w:r>
            <w:r w:rsidR="00E77699">
              <w:rPr>
                <w:color w:val="000000" w:themeColor="text1"/>
              </w:rPr>
              <w:t>Tā kā</w:t>
            </w:r>
            <w:r w:rsidRPr="00AD78DB">
              <w:rPr>
                <w:color w:val="000000" w:themeColor="text1"/>
              </w:rPr>
              <w:t xml:space="preserve"> dzīvnieka nereģistrēšana var būt ilgstošs pārkāpums, likums pieļauj gadījumos, kad suņa īpašnieks sadarbojas</w:t>
            </w:r>
            <w:r w:rsidR="006F3E04" w:rsidRPr="00AD78DB">
              <w:rPr>
                <w:color w:val="000000" w:themeColor="text1"/>
              </w:rPr>
              <w:t xml:space="preserve"> ar policiju un samērīgā termiņā </w:t>
            </w:r>
            <w:r w:rsidRPr="00AD78DB">
              <w:rPr>
                <w:color w:val="000000" w:themeColor="text1"/>
              </w:rPr>
              <w:t>novērš pārkāpumu, lietu izbeigt un aprobežoties ar mutvārdu aizrādījumu, savukārt</w:t>
            </w:r>
            <w:r w:rsidR="00E77699">
              <w:rPr>
                <w:color w:val="000000" w:themeColor="text1"/>
              </w:rPr>
              <w:t xml:space="preserve">, ja </w:t>
            </w:r>
            <w:r w:rsidRPr="00AD78DB">
              <w:rPr>
                <w:color w:val="000000" w:themeColor="text1"/>
              </w:rPr>
              <w:t>dzīvnieka īpašnieks nenovērš pārkāpumu</w:t>
            </w:r>
            <w:r w:rsidR="00E77699">
              <w:rPr>
                <w:color w:val="000000" w:themeColor="text1"/>
              </w:rPr>
              <w:t>,</w:t>
            </w:r>
            <w:r w:rsidRPr="00AD78DB">
              <w:rPr>
                <w:color w:val="000000" w:themeColor="text1"/>
              </w:rPr>
              <w:t xml:space="preserve"> piemērot naudas sodu, kā arī pēc reģistrācijas pienākuma izpildei noteiktā sapr</w:t>
            </w:r>
            <w:r w:rsidR="00E77699">
              <w:rPr>
                <w:color w:val="000000" w:themeColor="text1"/>
              </w:rPr>
              <w:t>ā</w:t>
            </w:r>
            <w:r w:rsidRPr="00AD78DB">
              <w:rPr>
                <w:color w:val="000000" w:themeColor="text1"/>
              </w:rPr>
              <w:t xml:space="preserve">tīgā laika beigām konstatējot, ka pārkāpums nav novērsts, uzsākt jaunu administratīvā pārkāpuma procesu un sodīt atkārtoti tik </w:t>
            </w:r>
            <w:r w:rsidR="00E77699">
              <w:rPr>
                <w:color w:val="000000" w:themeColor="text1"/>
              </w:rPr>
              <w:t xml:space="preserve">daudz </w:t>
            </w:r>
            <w:r w:rsidRPr="00AD78DB">
              <w:rPr>
                <w:color w:val="000000" w:themeColor="text1"/>
              </w:rPr>
              <w:t>rei</w:t>
            </w:r>
            <w:r w:rsidR="00E77699">
              <w:rPr>
                <w:color w:val="000000" w:themeColor="text1"/>
              </w:rPr>
              <w:t>žu</w:t>
            </w:r>
            <w:r w:rsidRPr="00AD78DB">
              <w:rPr>
                <w:color w:val="000000" w:themeColor="text1"/>
              </w:rPr>
              <w:t xml:space="preserve">, </w:t>
            </w:r>
            <w:r w:rsidR="00E77699">
              <w:rPr>
                <w:color w:val="000000" w:themeColor="text1"/>
              </w:rPr>
              <w:t>līdz</w:t>
            </w:r>
            <w:r w:rsidRPr="00AD78DB">
              <w:rPr>
                <w:color w:val="000000" w:themeColor="text1"/>
              </w:rPr>
              <w:t xml:space="preserve"> pārkāpums ti</w:t>
            </w:r>
            <w:r w:rsidR="00E77699">
              <w:rPr>
                <w:color w:val="000000" w:themeColor="text1"/>
              </w:rPr>
              <w:t>ek</w:t>
            </w:r>
            <w:r w:rsidRPr="00AD78DB">
              <w:rPr>
                <w:color w:val="000000" w:themeColor="text1"/>
              </w:rPr>
              <w:t xml:space="preserve"> novērsts.</w:t>
            </w:r>
          </w:p>
          <w:p w14:paraId="3D021372" w14:textId="29F3F89C" w:rsidR="006F3E04" w:rsidRPr="00AD78DB" w:rsidRDefault="000B7784" w:rsidP="005D16B0">
            <w:pPr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 xml:space="preserve">Lai efektīvāk nodrošinātu </w:t>
            </w:r>
            <w:r w:rsidR="00093082" w:rsidRPr="00AD78DB">
              <w:rPr>
                <w:color w:val="000000" w:themeColor="text1"/>
              </w:rPr>
              <w:t xml:space="preserve">kontroli </w:t>
            </w:r>
            <w:r w:rsidRPr="00AD78DB">
              <w:rPr>
                <w:color w:val="000000" w:themeColor="text1"/>
              </w:rPr>
              <w:t xml:space="preserve">un veicinātu, ka dzīvnieka īpašnieks </w:t>
            </w:r>
            <w:r w:rsidR="00E77699">
              <w:rPr>
                <w:color w:val="000000" w:themeColor="text1"/>
              </w:rPr>
              <w:t>ievēro</w:t>
            </w:r>
            <w:r w:rsidRPr="00AD78DB">
              <w:rPr>
                <w:color w:val="000000" w:themeColor="text1"/>
              </w:rPr>
              <w:t xml:space="preserve"> normatīvo aktu </w:t>
            </w:r>
            <w:r w:rsidR="00E77699">
              <w:rPr>
                <w:color w:val="000000" w:themeColor="text1"/>
              </w:rPr>
              <w:t>prasības</w:t>
            </w:r>
            <w:r w:rsidRPr="00AD78DB">
              <w:rPr>
                <w:color w:val="000000" w:themeColor="text1"/>
              </w:rPr>
              <w:t xml:space="preserve">, </w:t>
            </w:r>
            <w:r w:rsidR="00E77699" w:rsidRPr="00AD78DB">
              <w:rPr>
                <w:color w:val="000000" w:themeColor="text1"/>
              </w:rPr>
              <w:t>Veterinārmedicīnas likum</w:t>
            </w:r>
            <w:r w:rsidR="00E77699">
              <w:rPr>
                <w:color w:val="000000" w:themeColor="text1"/>
              </w:rPr>
              <w:t>s</w:t>
            </w:r>
            <w:r w:rsidR="00E77699" w:rsidRPr="00AD78DB">
              <w:rPr>
                <w:color w:val="000000" w:themeColor="text1"/>
              </w:rPr>
              <w:t xml:space="preserve"> </w:t>
            </w:r>
            <w:r w:rsidRPr="00AD78DB">
              <w:rPr>
                <w:color w:val="000000" w:themeColor="text1"/>
              </w:rPr>
              <w:t xml:space="preserve">ir </w:t>
            </w:r>
            <w:r w:rsidR="00E77699">
              <w:rPr>
                <w:color w:val="000000" w:themeColor="text1"/>
              </w:rPr>
              <w:t>jā</w:t>
            </w:r>
            <w:r w:rsidRPr="00AD78DB">
              <w:rPr>
                <w:color w:val="000000" w:themeColor="text1"/>
              </w:rPr>
              <w:t>papildin</w:t>
            </w:r>
            <w:r w:rsidR="00E77699">
              <w:rPr>
                <w:color w:val="000000" w:themeColor="text1"/>
              </w:rPr>
              <w:t>a</w:t>
            </w:r>
            <w:r w:rsidRPr="00AD78DB">
              <w:rPr>
                <w:color w:val="000000" w:themeColor="text1"/>
              </w:rPr>
              <w:t xml:space="preserve"> ar </w:t>
            </w:r>
            <w:r w:rsidR="000F3DC1" w:rsidRPr="00AD78DB">
              <w:rPr>
                <w:bCs/>
                <w:color w:val="000000" w:themeColor="text1"/>
              </w:rPr>
              <w:t>64</w:t>
            </w:r>
            <w:r w:rsidR="003D4B63">
              <w:rPr>
                <w:bCs/>
                <w:color w:val="000000" w:themeColor="text1"/>
              </w:rPr>
              <w:t>.</w:t>
            </w:r>
            <w:r w:rsidR="0004405F" w:rsidRPr="00AD78DB">
              <w:rPr>
                <w:bCs/>
                <w:color w:val="000000" w:themeColor="text1"/>
                <w:vertAlign w:val="superscript"/>
              </w:rPr>
              <w:t>1</w:t>
            </w:r>
            <w:r w:rsidR="0004405F" w:rsidRPr="00AD78DB">
              <w:rPr>
                <w:color w:val="000000" w:themeColor="text1"/>
              </w:rPr>
              <w:t> pant</w:t>
            </w:r>
            <w:r w:rsidR="00D71DDE" w:rsidRPr="00AD78DB">
              <w:rPr>
                <w:color w:val="000000" w:themeColor="text1"/>
              </w:rPr>
              <w:t>u, paredzot sodu</w:t>
            </w:r>
            <w:r w:rsidR="0004405F" w:rsidRPr="00AD78DB">
              <w:rPr>
                <w:color w:val="000000" w:themeColor="text1"/>
              </w:rPr>
              <w:t xml:space="preserve"> </w:t>
            </w:r>
            <w:r w:rsidR="00D71DDE" w:rsidRPr="00AD78DB">
              <w:rPr>
                <w:color w:val="000000" w:themeColor="text1"/>
              </w:rPr>
              <w:t>p</w:t>
            </w:r>
            <w:r w:rsidR="0004405F" w:rsidRPr="00AD78DB">
              <w:rPr>
                <w:color w:val="000000" w:themeColor="text1"/>
              </w:rPr>
              <w:t>ar mājas (istabas) dzīvnieka neapzīmēšanu ar mikroshēmu un nereģistrēšanu gadījumos, kad normatīvajos aktos noteikts šāds pienākums</w:t>
            </w:r>
            <w:r w:rsidR="00D71DDE" w:rsidRPr="00AD78DB">
              <w:rPr>
                <w:color w:val="000000" w:themeColor="text1"/>
              </w:rPr>
              <w:t>.</w:t>
            </w:r>
            <w:r w:rsidR="003A415F">
              <w:rPr>
                <w:color w:val="000000" w:themeColor="text1"/>
              </w:rPr>
              <w:t xml:space="preserve"> </w:t>
            </w:r>
            <w:r w:rsidR="00412564" w:rsidRPr="00AD78DB">
              <w:rPr>
                <w:color w:val="000000" w:themeColor="text1"/>
              </w:rPr>
              <w:t xml:space="preserve">Attiecīgi jāpapildina </w:t>
            </w:r>
            <w:r w:rsidR="00E77699">
              <w:rPr>
                <w:color w:val="000000" w:themeColor="text1"/>
              </w:rPr>
              <w:t xml:space="preserve">arī </w:t>
            </w:r>
            <w:r w:rsidR="00E464FC" w:rsidRPr="00AD78DB">
              <w:rPr>
                <w:color w:val="000000" w:themeColor="text1"/>
              </w:rPr>
              <w:t xml:space="preserve">Veterinārmedicīnas </w:t>
            </w:r>
            <w:r w:rsidR="00412564" w:rsidRPr="00AD78DB">
              <w:rPr>
                <w:color w:val="000000" w:themeColor="text1"/>
              </w:rPr>
              <w:t xml:space="preserve">likuma 82. pants, nosakot, ka </w:t>
            </w:r>
            <w:r w:rsidR="00412564" w:rsidRPr="00AD78DB">
              <w:rPr>
                <w:rFonts w:eastAsia="Calibri"/>
                <w:color w:val="000000" w:themeColor="text1"/>
                <w:spacing w:val="-2"/>
              </w:rPr>
              <w:t>administratīvā pārkāpuma procesu</w:t>
            </w:r>
            <w:r w:rsidR="00E464FC" w:rsidRPr="00AD78DB">
              <w:rPr>
                <w:rFonts w:eastAsia="Calibri"/>
                <w:color w:val="000000" w:themeColor="text1"/>
                <w:spacing w:val="-2"/>
              </w:rPr>
              <w:t xml:space="preserve"> par pārkāpumiem mājas (</w:t>
            </w:r>
            <w:r w:rsidR="00E464FC" w:rsidRPr="00AD78DB">
              <w:rPr>
                <w:color w:val="000000" w:themeColor="text1"/>
              </w:rPr>
              <w:t xml:space="preserve">istabas) dzīvnieka neapzīmēšanā ar mikroshēmu un nereģistrēšanā veiks dienests un </w:t>
            </w:r>
            <w:r w:rsidR="00820E57" w:rsidRPr="00AD78DB">
              <w:rPr>
                <w:color w:val="000000" w:themeColor="text1"/>
              </w:rPr>
              <w:t>pašvaldības policija vai pašvaldības administratīvā inspekcija.</w:t>
            </w:r>
            <w:r w:rsidR="007507A5" w:rsidRPr="00AD78DB">
              <w:rPr>
                <w:color w:val="000000" w:themeColor="text1"/>
              </w:rPr>
              <w:t xml:space="preserve"> </w:t>
            </w:r>
          </w:p>
          <w:p w14:paraId="207DCB55" w14:textId="0AEF0004" w:rsidR="00CE03C1" w:rsidRPr="00AD78DB" w:rsidRDefault="007507A5" w:rsidP="00BE5C57">
            <w:pPr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 xml:space="preserve">Administratīvā pārkāpuma atbilstība ir izvērtēta, ņemot vērā Ministru kabineta 2013. gada 4. februāra rīkojuma Nr. 38 "Par Administratīvo sodu sistēmas attīstības koncepciju" </w:t>
            </w:r>
            <w:r w:rsidR="00081ADE">
              <w:rPr>
                <w:color w:val="000000" w:themeColor="text1"/>
              </w:rPr>
              <w:t xml:space="preserve">(turpmāk – rīkojums Nr. 38) </w:t>
            </w:r>
            <w:r w:rsidRPr="00AD78DB">
              <w:rPr>
                <w:color w:val="000000" w:themeColor="text1"/>
              </w:rPr>
              <w:t>3. punktā noteiktos kritērijus</w:t>
            </w:r>
            <w:r w:rsidR="00E77699" w:rsidRPr="00AD78DB">
              <w:rPr>
                <w:color w:val="000000" w:themeColor="text1"/>
              </w:rPr>
              <w:t>"</w:t>
            </w:r>
            <w:r w:rsidR="00E27DF9" w:rsidRPr="00AD78DB">
              <w:rPr>
                <w:color w:val="000000" w:themeColor="text1"/>
              </w:rPr>
              <w:t>,</w:t>
            </w:r>
            <w:r w:rsidRPr="00AD78DB">
              <w:rPr>
                <w:color w:val="000000" w:themeColor="text1"/>
              </w:rPr>
              <w:t xml:space="preserve"> tas ir</w:t>
            </w:r>
            <w:r w:rsidR="009C3379">
              <w:rPr>
                <w:color w:val="000000" w:themeColor="text1"/>
              </w:rPr>
              <w:t>,</w:t>
            </w:r>
            <w:r w:rsidR="00E27DF9" w:rsidRPr="00AD78DB">
              <w:rPr>
                <w:color w:val="000000" w:themeColor="text1"/>
              </w:rPr>
              <w:t xml:space="preserve"> nodarījuma bīstamīb</w:t>
            </w:r>
            <w:r w:rsidRPr="00AD78DB">
              <w:rPr>
                <w:color w:val="000000" w:themeColor="text1"/>
              </w:rPr>
              <w:t>a, sabiedriskais kaitīgums, nodarījuma sekas, nodarījuma aktualitāte</w:t>
            </w:r>
            <w:r w:rsidR="00E27DF9" w:rsidRPr="00AD78DB">
              <w:rPr>
                <w:color w:val="000000" w:themeColor="text1"/>
              </w:rPr>
              <w:t>,</w:t>
            </w:r>
            <w:r w:rsidR="0023324B" w:rsidRPr="00AD78DB">
              <w:rPr>
                <w:color w:val="000000" w:themeColor="text1"/>
              </w:rPr>
              <w:t xml:space="preserve"> </w:t>
            </w:r>
            <w:r w:rsidRPr="00AD78DB">
              <w:rPr>
                <w:color w:val="000000" w:themeColor="text1"/>
              </w:rPr>
              <w:t>nodarījuma attiecināmība uz publiski tiesiskajām attiecībām</w:t>
            </w:r>
            <w:r w:rsidR="00EB3E97" w:rsidRPr="00AD78DB">
              <w:rPr>
                <w:color w:val="000000" w:themeColor="text1"/>
              </w:rPr>
              <w:t>. Naudas soda lielums</w:t>
            </w:r>
            <w:r w:rsidRPr="00AD78DB">
              <w:rPr>
                <w:color w:val="000000" w:themeColor="text1"/>
              </w:rPr>
              <w:t xml:space="preserve"> </w:t>
            </w:r>
            <w:r w:rsidR="0023324B" w:rsidRPr="00AD78DB">
              <w:rPr>
                <w:color w:val="000000" w:themeColor="text1"/>
              </w:rPr>
              <w:t xml:space="preserve">ir samērots ar </w:t>
            </w:r>
            <w:r w:rsidR="000F3DC1" w:rsidRPr="00AD78DB">
              <w:rPr>
                <w:color w:val="000000" w:themeColor="text1"/>
              </w:rPr>
              <w:t xml:space="preserve">iepriekš spēkā esošo </w:t>
            </w:r>
            <w:r w:rsidR="0023324B" w:rsidRPr="00AD78DB">
              <w:rPr>
                <w:color w:val="000000" w:themeColor="text1"/>
              </w:rPr>
              <w:t xml:space="preserve">Latvijas </w:t>
            </w:r>
            <w:r w:rsidR="00432BC7" w:rsidRPr="00AD78DB">
              <w:rPr>
                <w:color w:val="000000" w:themeColor="text1"/>
              </w:rPr>
              <w:t>A</w:t>
            </w:r>
            <w:r w:rsidR="0023324B" w:rsidRPr="00AD78DB">
              <w:rPr>
                <w:color w:val="000000" w:themeColor="text1"/>
              </w:rPr>
              <w:t>dministratīvo pārkāpumu kodeksa 107.</w:t>
            </w:r>
            <w:r w:rsidR="00E77699">
              <w:rPr>
                <w:color w:val="000000" w:themeColor="text1"/>
              </w:rPr>
              <w:t xml:space="preserve"> </w:t>
            </w:r>
            <w:r w:rsidR="0023324B" w:rsidRPr="00AD78DB">
              <w:rPr>
                <w:color w:val="000000" w:themeColor="text1"/>
              </w:rPr>
              <w:t>pantā noteikto</w:t>
            </w:r>
            <w:r w:rsidR="00E77699">
              <w:rPr>
                <w:color w:val="000000" w:themeColor="text1"/>
              </w:rPr>
              <w:t>:</w:t>
            </w:r>
            <w:r w:rsidR="0023324B" w:rsidRPr="00AD78DB">
              <w:rPr>
                <w:color w:val="000000" w:themeColor="text1"/>
              </w:rPr>
              <w:t xml:space="preserve"> par dzīvnieku nereģistrēšanu normatīvajos aktos noteiktajā kārtībā, dzīvnieku neidentificēšanu (nemarķēša</w:t>
            </w:r>
            <w:r w:rsidR="003508F6" w:rsidRPr="00AD78DB">
              <w:rPr>
                <w:color w:val="000000" w:themeColor="text1"/>
              </w:rPr>
              <w:t>nu)</w:t>
            </w:r>
            <w:r w:rsidR="0023324B" w:rsidRPr="00AD78DB">
              <w:rPr>
                <w:color w:val="000000" w:themeColor="text1"/>
              </w:rPr>
              <w:t xml:space="preserve"> uzliek naudas sodu fiziskajām personām no septiņiem līdz divsimt desmit </w:t>
            </w:r>
            <w:proofErr w:type="spellStart"/>
            <w:r w:rsidR="0023324B" w:rsidRPr="00AD78DB">
              <w:rPr>
                <w:i/>
                <w:iCs/>
                <w:color w:val="000000" w:themeColor="text1"/>
              </w:rPr>
              <w:t>euro</w:t>
            </w:r>
            <w:proofErr w:type="spellEnd"/>
            <w:r w:rsidR="0023324B" w:rsidRPr="00AD78DB">
              <w:rPr>
                <w:color w:val="000000" w:themeColor="text1"/>
              </w:rPr>
              <w:t xml:space="preserve">, bet juridiskajām personām </w:t>
            </w:r>
            <w:r w:rsidR="009C3379">
              <w:rPr>
                <w:color w:val="000000" w:themeColor="text1"/>
              </w:rPr>
              <w:t>–</w:t>
            </w:r>
            <w:r w:rsidR="0023324B" w:rsidRPr="00AD78DB">
              <w:rPr>
                <w:color w:val="000000" w:themeColor="text1"/>
              </w:rPr>
              <w:t xml:space="preserve"> no piecpadsmit līdz trīssimt piecdesmit </w:t>
            </w:r>
            <w:proofErr w:type="spellStart"/>
            <w:r w:rsidR="0023324B" w:rsidRPr="00AD78DB">
              <w:rPr>
                <w:i/>
                <w:iCs/>
                <w:color w:val="000000" w:themeColor="text1"/>
              </w:rPr>
              <w:t>euro</w:t>
            </w:r>
            <w:proofErr w:type="spellEnd"/>
            <w:r w:rsidR="0023324B" w:rsidRPr="00AD78DB">
              <w:rPr>
                <w:color w:val="000000" w:themeColor="text1"/>
              </w:rPr>
              <w:t>.</w:t>
            </w:r>
            <w:r w:rsidR="00AC4693" w:rsidRPr="00AD78DB">
              <w:rPr>
                <w:color w:val="000000" w:themeColor="text1"/>
              </w:rPr>
              <w:t xml:space="preserve"> </w:t>
            </w:r>
          </w:p>
          <w:p w14:paraId="47071B8D" w14:textId="3FA581A4" w:rsidR="00270C98" w:rsidRPr="00F94087" w:rsidRDefault="00F6762C" w:rsidP="00BE5C57">
            <w:pPr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>Veterinārmedicīnas likuma 21.</w:t>
            </w:r>
            <w:r w:rsidR="00093082" w:rsidRPr="00AD78DB">
              <w:rPr>
                <w:color w:val="000000" w:themeColor="text1"/>
              </w:rPr>
              <w:t> </w:t>
            </w:r>
            <w:r w:rsidRPr="00AD78DB">
              <w:rPr>
                <w:color w:val="000000" w:themeColor="text1"/>
              </w:rPr>
              <w:t>panta sestajā daļā ir noteikts, ka praktizējošs veterinārārsts mājas (istabas) dzīvnieka pasi noformē saskaņā ar Komisijas</w:t>
            </w:r>
            <w:r w:rsidR="00093082" w:rsidRPr="00AD78DB">
              <w:rPr>
                <w:color w:val="000000" w:themeColor="text1"/>
              </w:rPr>
              <w:t xml:space="preserve"> </w:t>
            </w:r>
            <w:r w:rsidR="00093082" w:rsidRPr="00AD78DB">
              <w:rPr>
                <w:color w:val="000000" w:themeColor="text1"/>
                <w:shd w:val="clear" w:color="auto" w:fill="FFFFFF"/>
              </w:rPr>
              <w:t>2013. gada 28. jūnija</w:t>
            </w:r>
            <w:r w:rsidRPr="00AD78DB">
              <w:rPr>
                <w:color w:val="000000" w:themeColor="text1"/>
              </w:rPr>
              <w:t xml:space="preserve"> </w:t>
            </w:r>
            <w:r w:rsidR="00432BC7" w:rsidRPr="00AD78DB">
              <w:rPr>
                <w:color w:val="000000" w:themeColor="text1"/>
              </w:rPr>
              <w:t>Ī</w:t>
            </w:r>
            <w:r w:rsidRPr="00AD78DB">
              <w:rPr>
                <w:color w:val="000000" w:themeColor="text1"/>
              </w:rPr>
              <w:t>stenošanas regul</w:t>
            </w:r>
            <w:r w:rsidR="00FD23B4" w:rsidRPr="00AD78DB">
              <w:rPr>
                <w:color w:val="000000" w:themeColor="text1"/>
              </w:rPr>
              <w:t>u</w:t>
            </w:r>
            <w:r w:rsidRPr="00AD78DB">
              <w:rPr>
                <w:color w:val="000000" w:themeColor="text1"/>
              </w:rPr>
              <w:t xml:space="preserve"> </w:t>
            </w:r>
            <w:r w:rsidR="00093082" w:rsidRPr="00AD78DB">
              <w:rPr>
                <w:color w:val="000000" w:themeColor="text1"/>
              </w:rPr>
              <w:t xml:space="preserve">(ES) </w:t>
            </w:r>
            <w:r w:rsidRPr="00AD78DB">
              <w:rPr>
                <w:color w:val="000000" w:themeColor="text1"/>
              </w:rPr>
              <w:t>Nr.</w:t>
            </w:r>
            <w:r w:rsidR="00FD23B4" w:rsidRPr="00AD78DB">
              <w:rPr>
                <w:color w:val="000000" w:themeColor="text1"/>
              </w:rPr>
              <w:t> </w:t>
            </w:r>
            <w:r w:rsidRPr="00AD78DB">
              <w:rPr>
                <w:color w:val="000000" w:themeColor="text1"/>
              </w:rPr>
              <w:t xml:space="preserve">577/2013 </w:t>
            </w:r>
            <w:r w:rsidR="00093082" w:rsidRPr="00AD78DB">
              <w:rPr>
                <w:color w:val="000000" w:themeColor="text1"/>
                <w:shd w:val="clear" w:color="auto" w:fill="FFFFFF"/>
              </w:rPr>
              <w:t xml:space="preserve">par identifikācijas dokumentu paraugiem suņu, kaķu </w:t>
            </w:r>
            <w:r w:rsidR="00093082" w:rsidRPr="00AD78DB">
              <w:rPr>
                <w:color w:val="000000" w:themeColor="text1"/>
                <w:shd w:val="clear" w:color="auto" w:fill="FFFFFF"/>
              </w:rPr>
              <w:lastRenderedPageBreak/>
              <w:t xml:space="preserve">un mājas sesku nekomerciālai pārvietošanai, teritoriju un trešo valstu saraksta izveidošanu un par deklarāciju formas, izkārtojuma un valodas prasībām atbilstoši Eiropas Parlamenta un Padomes </w:t>
            </w:r>
            <w:r w:rsidR="00877A71" w:rsidRPr="00AD78DB">
              <w:rPr>
                <w:color w:val="000000" w:themeColor="text1"/>
                <w:shd w:val="clear" w:color="auto" w:fill="FFFFFF"/>
              </w:rPr>
              <w:t>R</w:t>
            </w:r>
            <w:r w:rsidR="00093082" w:rsidRPr="00AD78DB">
              <w:rPr>
                <w:color w:val="000000" w:themeColor="text1"/>
                <w:shd w:val="clear" w:color="auto" w:fill="FFFFFF"/>
              </w:rPr>
              <w:t xml:space="preserve">egulā </w:t>
            </w:r>
            <w:r w:rsidR="00877A71" w:rsidRPr="00AD78DB">
              <w:rPr>
                <w:color w:val="000000" w:themeColor="text1"/>
                <w:shd w:val="clear" w:color="auto" w:fill="FFFFFF"/>
              </w:rPr>
              <w:t xml:space="preserve">(ES) Nr. 576/2013 </w:t>
            </w:r>
            <w:r w:rsidRPr="00AD78DB">
              <w:rPr>
                <w:color w:val="000000" w:themeColor="text1"/>
              </w:rPr>
              <w:t>paredzētajiem konkrētiem nosacījumiem, tas ir</w:t>
            </w:r>
            <w:r w:rsidR="00E57F7B" w:rsidRPr="00AD78DB">
              <w:rPr>
                <w:color w:val="000000" w:themeColor="text1"/>
              </w:rPr>
              <w:t>,</w:t>
            </w:r>
            <w:r w:rsidRPr="00AD78DB">
              <w:rPr>
                <w:color w:val="000000" w:themeColor="text1"/>
              </w:rPr>
              <w:t xml:space="preserve"> norāda informācij</w:t>
            </w:r>
            <w:r w:rsidR="00CE03C1" w:rsidRPr="00AD78DB">
              <w:rPr>
                <w:color w:val="000000" w:themeColor="text1"/>
              </w:rPr>
              <w:t>u</w:t>
            </w:r>
            <w:r w:rsidRPr="00AD78DB">
              <w:rPr>
                <w:color w:val="000000" w:themeColor="text1"/>
              </w:rPr>
              <w:t xml:space="preserve"> par dzīvnieka īpašnieku, dzīvnieku, tā identifikāciju, dokumenta i</w:t>
            </w:r>
            <w:r w:rsidRPr="00F94087">
              <w:rPr>
                <w:color w:val="000000" w:themeColor="text1"/>
              </w:rPr>
              <w:t>zdošanu, vakcinācij</w:t>
            </w:r>
            <w:r w:rsidR="00E77699">
              <w:rPr>
                <w:color w:val="000000" w:themeColor="text1"/>
              </w:rPr>
              <w:t>u</w:t>
            </w:r>
            <w:r w:rsidRPr="00F94087">
              <w:rPr>
                <w:color w:val="000000" w:themeColor="text1"/>
              </w:rPr>
              <w:t xml:space="preserve"> </w:t>
            </w:r>
            <w:r w:rsidR="00E57F7B" w:rsidRPr="00F94087">
              <w:rPr>
                <w:color w:val="000000" w:themeColor="text1"/>
              </w:rPr>
              <w:t>u.c.</w:t>
            </w:r>
            <w:r w:rsidR="00EF3CD6" w:rsidRPr="00F94087">
              <w:rPr>
                <w:color w:val="000000" w:themeColor="text1"/>
              </w:rPr>
              <w:t xml:space="preserve"> </w:t>
            </w:r>
          </w:p>
          <w:p w14:paraId="271C36CB" w14:textId="703AA3B6" w:rsidR="00D002EB" w:rsidRPr="00AD78DB" w:rsidRDefault="00CE03C1" w:rsidP="009C3379">
            <w:pPr>
              <w:jc w:val="both"/>
              <w:rPr>
                <w:color w:val="000000" w:themeColor="text1"/>
              </w:rPr>
            </w:pPr>
            <w:r w:rsidRPr="00AD78DB">
              <w:rPr>
                <w:color w:val="000000" w:themeColor="text1"/>
              </w:rPr>
              <w:t xml:space="preserve">Savukārt dienests </w:t>
            </w:r>
            <w:r w:rsidR="00E77699">
              <w:rPr>
                <w:color w:val="000000" w:themeColor="text1"/>
              </w:rPr>
              <w:t>apmāca</w:t>
            </w:r>
            <w:r w:rsidRPr="00AD78DB">
              <w:rPr>
                <w:color w:val="000000" w:themeColor="text1"/>
              </w:rPr>
              <w:t xml:space="preserve"> veterinārārstus par pareizu</w:t>
            </w:r>
            <w:r w:rsidR="00717977" w:rsidRPr="00AD78DB">
              <w:rPr>
                <w:color w:val="000000" w:themeColor="text1"/>
              </w:rPr>
              <w:t xml:space="preserve"> mājas</w:t>
            </w:r>
            <w:r w:rsidRPr="00AD78DB">
              <w:rPr>
                <w:color w:val="000000" w:themeColor="text1"/>
              </w:rPr>
              <w:t xml:space="preserve"> </w:t>
            </w:r>
            <w:r w:rsidR="00717977" w:rsidRPr="00AD78DB">
              <w:rPr>
                <w:color w:val="000000" w:themeColor="text1"/>
              </w:rPr>
              <w:t>(istabas)</w:t>
            </w:r>
            <w:r w:rsidR="00766B8D" w:rsidRPr="00AD78DB">
              <w:rPr>
                <w:color w:val="000000" w:themeColor="text1"/>
              </w:rPr>
              <w:t xml:space="preserve"> dzīvnieku</w:t>
            </w:r>
            <w:r w:rsidR="00717977" w:rsidRPr="00AD78DB">
              <w:rPr>
                <w:color w:val="000000" w:themeColor="text1"/>
              </w:rPr>
              <w:t xml:space="preserve"> </w:t>
            </w:r>
            <w:r w:rsidRPr="00AD78DB">
              <w:rPr>
                <w:color w:val="000000" w:themeColor="text1"/>
              </w:rPr>
              <w:t xml:space="preserve">pasu aizpildīšanu. </w:t>
            </w:r>
          </w:p>
          <w:p w14:paraId="77B3A369" w14:textId="2BE040EA" w:rsidR="008F24AD" w:rsidRPr="00490FB8" w:rsidRDefault="00FE1884" w:rsidP="005C0B33">
            <w:pPr>
              <w:jc w:val="both"/>
            </w:pPr>
            <w:r w:rsidRPr="002120F2">
              <w:t>Ir svarīgi, lai mājas (istabas) dzīvniekiem izsniegtajā identifikācijas dokume</w:t>
            </w:r>
            <w:r w:rsidR="00403B7B" w:rsidRPr="002120F2">
              <w:t xml:space="preserve">ntā (pasē) tiktu norādīta </w:t>
            </w:r>
            <w:r w:rsidR="00810E86" w:rsidRPr="002120F2">
              <w:t xml:space="preserve">pareiza </w:t>
            </w:r>
            <w:r w:rsidR="00403B7B" w:rsidRPr="002120F2">
              <w:t>visa nepieciešamā</w:t>
            </w:r>
            <w:r w:rsidRPr="002120F2">
              <w:t xml:space="preserve"> informācija</w:t>
            </w:r>
            <w:r w:rsidR="00766B8D" w:rsidRPr="002120F2">
              <w:t>,</w:t>
            </w:r>
            <w:r w:rsidR="00403B7B" w:rsidRPr="002120F2">
              <w:t xml:space="preserve"> jo</w:t>
            </w:r>
            <w:r w:rsidR="006808B6" w:rsidRPr="002120F2">
              <w:t xml:space="preserve"> tā apliecina datus par dzīvnieku (piem</w:t>
            </w:r>
            <w:r w:rsidR="00A4497B" w:rsidRPr="002120F2">
              <w:t>ēram apmatojuma krāsu</w:t>
            </w:r>
            <w:r w:rsidR="006808B6" w:rsidRPr="002120F2">
              <w:t>, identifikāciju u.c.), kā arī kalpo</w:t>
            </w:r>
            <w:r w:rsidR="00403B7B" w:rsidRPr="002120F2">
              <w:t xml:space="preserve"> </w:t>
            </w:r>
            <w:r w:rsidR="00E77699">
              <w:t>par</w:t>
            </w:r>
            <w:r w:rsidR="00403B7B" w:rsidRPr="002120F2">
              <w:t xml:space="preserve"> dzīvnieka ceļošanas dokument</w:t>
            </w:r>
            <w:r w:rsidR="00E77699">
              <w:t>u</w:t>
            </w:r>
            <w:r w:rsidR="00403B7B" w:rsidRPr="002120F2">
              <w:t>.</w:t>
            </w:r>
            <w:r w:rsidR="00F94087" w:rsidRPr="002120F2">
              <w:t xml:space="preserve"> Pases, kas nav aizpildītas atbilstoši normatīv</w:t>
            </w:r>
            <w:r w:rsidR="00E77699">
              <w:t>o</w:t>
            </w:r>
            <w:r w:rsidR="00F94087" w:rsidRPr="002120F2">
              <w:t xml:space="preserve"> akt</w:t>
            </w:r>
            <w:r w:rsidR="00E77699">
              <w:t>u prasībām</w:t>
            </w:r>
            <w:r w:rsidR="00F94087" w:rsidRPr="002120F2">
              <w:t xml:space="preserve">, ceļošanas laikā var radīt ļoti smagas tiesiskas sekas, </w:t>
            </w:r>
            <w:r w:rsidR="00C87F4D" w:rsidRPr="002120F2">
              <w:t>t</w:t>
            </w:r>
            <w:r w:rsidR="00E77699">
              <w:t>ostarp</w:t>
            </w:r>
            <w:r w:rsidR="00C87F4D" w:rsidRPr="002120F2">
              <w:t xml:space="preserve"> dzīvnieka eitanāziju.</w:t>
            </w:r>
            <w:r w:rsidR="005F18DB">
              <w:t xml:space="preserve"> </w:t>
            </w:r>
            <w:r w:rsidR="00270C98" w:rsidRPr="002120F2">
              <w:rPr>
                <w:shd w:val="clear" w:color="auto" w:fill="FFFFFF"/>
              </w:rPr>
              <w:t xml:space="preserve">Eiropas Parlamenta un Padomes 2013. gada 12. jūnija </w:t>
            </w:r>
            <w:r w:rsidR="00A4497B" w:rsidRPr="002120F2">
              <w:t>Regulā</w:t>
            </w:r>
            <w:r w:rsidR="00766B8D" w:rsidRPr="002120F2">
              <w:t xml:space="preserve"> </w:t>
            </w:r>
            <w:r w:rsidR="00270C98" w:rsidRPr="002120F2">
              <w:t>(ES) N</w:t>
            </w:r>
            <w:r w:rsidR="003B428C" w:rsidRPr="002120F2">
              <w:t>r.</w:t>
            </w:r>
            <w:r w:rsidR="00E77699">
              <w:t> </w:t>
            </w:r>
            <w:r w:rsidR="003B428C" w:rsidRPr="002120F2">
              <w:t xml:space="preserve">576/2013 </w:t>
            </w:r>
            <w:r w:rsidR="00CA0B6E" w:rsidRPr="002120F2">
              <w:rPr>
                <w:shd w:val="clear" w:color="auto" w:fill="FFFFFF"/>
              </w:rPr>
              <w:t>par lolojumdzīvnieku nekomerciālu pārvietošanu un par Regulas (EK) Nr. 998/2003 atcelšanu</w:t>
            </w:r>
            <w:r w:rsidR="00CA0B6E" w:rsidRPr="002120F2">
              <w:t xml:space="preserve"> </w:t>
            </w:r>
            <w:r w:rsidR="00A4497B" w:rsidRPr="002120F2">
              <w:t xml:space="preserve">ir </w:t>
            </w:r>
            <w:r w:rsidR="00E77699">
              <w:t>noteikta</w:t>
            </w:r>
            <w:r w:rsidR="00A4497B" w:rsidRPr="002120F2">
              <w:t xml:space="preserve"> informācija</w:t>
            </w:r>
            <w:r w:rsidR="00E77699">
              <w:t>, kas</w:t>
            </w:r>
            <w:r w:rsidR="00A4497B" w:rsidRPr="002120F2">
              <w:t xml:space="preserve"> ir jānorāda dzīvnieka ceļošanas dokumentā (pasē)</w:t>
            </w:r>
            <w:r w:rsidR="00E77699">
              <w:t>,</w:t>
            </w:r>
            <w:r w:rsidR="00A4497B" w:rsidRPr="002120F2">
              <w:t xml:space="preserve"> un tās </w:t>
            </w:r>
            <w:r w:rsidR="003B428C" w:rsidRPr="002120F2">
              <w:t>42.</w:t>
            </w:r>
            <w:r w:rsidR="00E77699">
              <w:t> </w:t>
            </w:r>
            <w:r w:rsidR="003B428C" w:rsidRPr="002120F2">
              <w:t>pants paredz, ka dalībvalstis izstrādā noteikumus par sankcijām, ko piemēro par šīs regulas pārkāpumiem</w:t>
            </w:r>
            <w:r w:rsidR="00E77699">
              <w:t>.</w:t>
            </w:r>
            <w:r w:rsidR="003B428C" w:rsidRPr="002120F2">
              <w:t xml:space="preserve"> </w:t>
            </w:r>
            <w:r w:rsidR="00E77699">
              <w:t>Tomēr</w:t>
            </w:r>
            <w:r w:rsidR="00E77699" w:rsidRPr="002120F2">
              <w:t xml:space="preserve"> </w:t>
            </w:r>
            <w:r w:rsidR="00631DD8" w:rsidRPr="002120F2">
              <w:t>normatīv</w:t>
            </w:r>
            <w:r w:rsidR="00A279D4" w:rsidRPr="002120F2">
              <w:t>ajos aktos</w:t>
            </w:r>
            <w:r w:rsidR="00631DD8" w:rsidRPr="002120F2">
              <w:t xml:space="preserve"> nav</w:t>
            </w:r>
            <w:r w:rsidR="004F5008" w:rsidRPr="002120F2">
              <w:t xml:space="preserve"> noteikta administratīvā atbildība</w:t>
            </w:r>
            <w:r w:rsidR="00631DD8" w:rsidRPr="002120F2">
              <w:t xml:space="preserve"> </w:t>
            </w:r>
            <w:r w:rsidR="00E77699" w:rsidRPr="002120F2">
              <w:t xml:space="preserve">veterinārārstiem </w:t>
            </w:r>
            <w:r w:rsidR="00631DD8" w:rsidRPr="002120F2">
              <w:t>par nepilnīg</w:t>
            </w:r>
            <w:r w:rsidR="00E14E05" w:rsidRPr="002120F2">
              <w:t>i aizpildītas</w:t>
            </w:r>
            <w:r w:rsidR="00631DD8" w:rsidRPr="002120F2">
              <w:t xml:space="preserve"> </w:t>
            </w:r>
            <w:r w:rsidR="00E14E05" w:rsidRPr="002120F2">
              <w:t>vai normatīvo aktu prasībām neatbilstoši noformētas mājas (istabas) dzīvnieka</w:t>
            </w:r>
            <w:r w:rsidR="00631DD8" w:rsidRPr="002120F2">
              <w:t xml:space="preserve"> pas</w:t>
            </w:r>
            <w:r w:rsidR="00E14E05" w:rsidRPr="002120F2">
              <w:t>es</w:t>
            </w:r>
            <w:r w:rsidR="00631DD8" w:rsidRPr="002120F2">
              <w:t xml:space="preserve"> izsniegšanu</w:t>
            </w:r>
            <w:r w:rsidR="00D71DDE" w:rsidRPr="002120F2">
              <w:t>, tā</w:t>
            </w:r>
            <w:r w:rsidR="00E77699">
              <w:t>pēc</w:t>
            </w:r>
            <w:r w:rsidR="00D71DDE" w:rsidRPr="002120F2">
              <w:t xml:space="preserve"> i</w:t>
            </w:r>
            <w:r w:rsidR="00631DD8" w:rsidRPr="002120F2">
              <w:t>r jāparedz sod</w:t>
            </w:r>
            <w:r w:rsidR="00724C6A" w:rsidRPr="002120F2">
              <w:t>s</w:t>
            </w:r>
            <w:r w:rsidR="00631DD8" w:rsidRPr="002120F2">
              <w:t xml:space="preserve"> par</w:t>
            </w:r>
            <w:r w:rsidR="00D71DDE" w:rsidRPr="002120F2">
              <w:t xml:space="preserve"> minētajiem</w:t>
            </w:r>
            <w:r w:rsidR="00631DD8" w:rsidRPr="002120F2">
              <w:t xml:space="preserve"> pārkāpumiem</w:t>
            </w:r>
            <w:r w:rsidR="00724C6A" w:rsidRPr="002120F2">
              <w:t xml:space="preserve">, papildinot Veterinārmedicīnas likumu ar </w:t>
            </w:r>
            <w:r w:rsidR="00CE03C1" w:rsidRPr="002120F2">
              <w:rPr>
                <w:rFonts w:eastAsiaTheme="minorHAnsi"/>
                <w:bCs/>
              </w:rPr>
              <w:t>64</w:t>
            </w:r>
            <w:r w:rsidR="00724C6A" w:rsidRPr="002120F2">
              <w:rPr>
                <w:rFonts w:eastAsiaTheme="minorHAnsi"/>
                <w:bCs/>
              </w:rPr>
              <w:t>.</w:t>
            </w:r>
            <w:r w:rsidR="00724C6A" w:rsidRPr="002120F2">
              <w:rPr>
                <w:rFonts w:eastAsiaTheme="minorHAnsi"/>
                <w:bCs/>
                <w:vertAlign w:val="superscript"/>
              </w:rPr>
              <w:t>2 </w:t>
            </w:r>
            <w:r w:rsidR="00724C6A" w:rsidRPr="002120F2">
              <w:rPr>
                <w:rFonts w:eastAsiaTheme="minorHAnsi"/>
              </w:rPr>
              <w:t>pantu</w:t>
            </w:r>
            <w:r w:rsidR="00596E61" w:rsidRPr="002120F2">
              <w:rPr>
                <w:rFonts w:eastAsiaTheme="minorHAnsi"/>
              </w:rPr>
              <w:t xml:space="preserve"> un </w:t>
            </w:r>
            <w:r w:rsidR="00596E61" w:rsidRPr="002120F2">
              <w:t xml:space="preserve">82. pantā nosakot, ka </w:t>
            </w:r>
            <w:r w:rsidR="00596E61" w:rsidRPr="002120F2">
              <w:rPr>
                <w:rFonts w:eastAsia="Calibri"/>
                <w:spacing w:val="-2"/>
              </w:rPr>
              <w:t xml:space="preserve">administratīvā pārkāpuma procesu par minētajiem pārkāpumiem </w:t>
            </w:r>
            <w:r w:rsidR="00596E61" w:rsidRPr="002120F2">
              <w:t>veic dienests</w:t>
            </w:r>
            <w:r w:rsidR="004F5008" w:rsidRPr="002120F2">
              <w:t>.</w:t>
            </w:r>
            <w:r w:rsidR="0087696C" w:rsidRPr="002120F2">
              <w:t xml:space="preserve"> Administratīvā pārkāpuma atbilstība ir izvērtēta, ņemot vērā rīkojuma Nr. 38 3. punktā noteiktos kritērijus. Naudas soda lielums</w:t>
            </w:r>
            <w:r w:rsidR="007912FE" w:rsidRPr="002120F2">
              <w:t xml:space="preserve"> ir </w:t>
            </w:r>
            <w:r w:rsidR="00025625" w:rsidRPr="002120F2">
              <w:t>noteikts</w:t>
            </w:r>
            <w:r w:rsidR="00E77699">
              <w:t>,</w:t>
            </w:r>
            <w:r w:rsidR="00025625" w:rsidRPr="002120F2">
              <w:t xml:space="preserve"> izvērtējot nodarījuma bīstamību, sekas,</w:t>
            </w:r>
            <w:r w:rsidR="00025625" w:rsidRPr="00AD78DB">
              <w:t xml:space="preserve"> </w:t>
            </w:r>
            <w:r w:rsidR="00025625" w:rsidRPr="002120F2">
              <w:t xml:space="preserve">aktualitāti un sabiedrisko kaitīgumu un </w:t>
            </w:r>
            <w:r w:rsidR="007912FE" w:rsidRPr="002120F2">
              <w:t xml:space="preserve">samērots ar </w:t>
            </w:r>
            <w:r w:rsidR="00025625" w:rsidRPr="002120F2">
              <w:t xml:space="preserve">iepriekš spēkā esošo </w:t>
            </w:r>
            <w:r w:rsidR="007912FE" w:rsidRPr="002120F2">
              <w:t>Latvijas administratīvo pārkāpumu kodeksa 166.</w:t>
            </w:r>
            <w:r w:rsidR="007912FE" w:rsidRPr="002120F2">
              <w:rPr>
                <w:vertAlign w:val="superscript"/>
              </w:rPr>
              <w:t xml:space="preserve">9 </w:t>
            </w:r>
            <w:r w:rsidR="007912FE" w:rsidRPr="002120F2">
              <w:t>pantu, kas no</w:t>
            </w:r>
            <w:r w:rsidR="00A27844">
              <w:t>teica</w:t>
            </w:r>
            <w:r w:rsidR="007912FE" w:rsidRPr="002120F2">
              <w:t>, ka par normatīvajos aktos noteiktajām kvalitātes prasībām neatbilstošu</w:t>
            </w:r>
            <w:r w:rsidR="007912FE" w:rsidRPr="00AD78DB">
              <w:t xml:space="preserve"> </w:t>
            </w:r>
            <w:r w:rsidR="007912FE" w:rsidRPr="00490FB8">
              <w:t xml:space="preserve">preču vai pakalpojumu piedāvāšanu vai pārdošanu uzliek naudas sodu fiziskajām personām līdz trīssimt piecdesmit </w:t>
            </w:r>
            <w:proofErr w:type="spellStart"/>
            <w:r w:rsidR="007912FE" w:rsidRPr="00490FB8">
              <w:rPr>
                <w:i/>
                <w:iCs/>
              </w:rPr>
              <w:t>euro</w:t>
            </w:r>
            <w:proofErr w:type="spellEnd"/>
            <w:r w:rsidR="007912FE" w:rsidRPr="00490FB8">
              <w:t xml:space="preserve">, bet juridiskajām personām </w:t>
            </w:r>
            <w:r w:rsidR="00A27844">
              <w:t>–</w:t>
            </w:r>
            <w:r w:rsidR="007912FE" w:rsidRPr="00490FB8">
              <w:t xml:space="preserve"> līdz tūkstoš četrsimt </w:t>
            </w:r>
            <w:proofErr w:type="spellStart"/>
            <w:r w:rsidR="007912FE" w:rsidRPr="00490FB8">
              <w:rPr>
                <w:i/>
                <w:iCs/>
              </w:rPr>
              <w:t>euro</w:t>
            </w:r>
            <w:proofErr w:type="spellEnd"/>
            <w:r w:rsidR="007912FE" w:rsidRPr="00490FB8">
              <w:t>.</w:t>
            </w:r>
          </w:p>
          <w:p w14:paraId="033B240F" w14:textId="0C4EE7CF" w:rsidR="00724C6A" w:rsidRDefault="00724C6A" w:rsidP="005F18DB">
            <w:pPr>
              <w:jc w:val="both"/>
              <w:rPr>
                <w:rFonts w:eastAsia="Calibri"/>
                <w:color w:val="000000" w:themeColor="text1"/>
                <w:spacing w:val="-2"/>
              </w:rPr>
            </w:pPr>
            <w:r w:rsidRPr="00F94087">
              <w:rPr>
                <w:rFonts w:eastAsia="Calibri"/>
                <w:color w:val="000000" w:themeColor="text1"/>
                <w:spacing w:val="-2"/>
              </w:rPr>
              <w:t>Likumprojekta pieņemšana pilnībā atrisinās minētās problēmas.</w:t>
            </w:r>
          </w:p>
          <w:p w14:paraId="3CF1C5F5" w14:textId="55272500" w:rsidR="00A32813" w:rsidRPr="00AD78DB" w:rsidRDefault="005B562F" w:rsidP="00BE5C5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Likumprojekts ir saskaņots ar Tieslietu ministrijas administratīvo pārkāpumu kodeksa darba grupu</w:t>
            </w:r>
            <w:r w:rsidR="00E7769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un nav saņemti iebildumi</w:t>
            </w:r>
            <w:r w:rsidR="008548E6">
              <w:rPr>
                <w:color w:val="000000" w:themeColor="text1"/>
              </w:rPr>
              <w:t xml:space="preserve"> vai priekšlikumi.</w:t>
            </w:r>
          </w:p>
        </w:tc>
      </w:tr>
      <w:tr w:rsidR="002F3D83" w:rsidRPr="002F3D83" w14:paraId="1046E045" w14:textId="77777777" w:rsidTr="00BE5C57">
        <w:trPr>
          <w:jc w:val="center"/>
        </w:trPr>
        <w:tc>
          <w:tcPr>
            <w:tcW w:w="283" w:type="dxa"/>
          </w:tcPr>
          <w:p w14:paraId="2B1B09E9" w14:textId="77777777" w:rsidR="00393BEE" w:rsidRPr="005B562F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5B562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2126" w:type="dxa"/>
          </w:tcPr>
          <w:p w14:paraId="4757EEBC" w14:textId="77777777" w:rsidR="00393BEE" w:rsidRPr="002F3D83" w:rsidRDefault="00393BEE" w:rsidP="00FA340F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6663" w:type="dxa"/>
          </w:tcPr>
          <w:p w14:paraId="55A4E24C" w14:textId="59C36297" w:rsidR="00393BEE" w:rsidRPr="002F3D83" w:rsidRDefault="00747D34" w:rsidP="005D16B0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Pārtikas un veterinārais dienests</w:t>
            </w:r>
            <w:r w:rsidR="00B14D7D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, Latvijas pašvaldību savienība</w:t>
            </w:r>
            <w:r w:rsidR="00246349"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 xml:space="preserve"> un </w:t>
            </w:r>
            <w:r w:rsidR="002B4DD1"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 xml:space="preserve">Rīgas pilsētas </w:t>
            </w:r>
            <w:r w:rsidR="00246349"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pašvaldības policija</w:t>
            </w:r>
          </w:p>
        </w:tc>
      </w:tr>
      <w:tr w:rsidR="00393BEE" w:rsidRPr="002F3D83" w14:paraId="449CBE37" w14:textId="77777777" w:rsidTr="00BE5C57">
        <w:trPr>
          <w:jc w:val="center"/>
        </w:trPr>
        <w:tc>
          <w:tcPr>
            <w:tcW w:w="283" w:type="dxa"/>
          </w:tcPr>
          <w:p w14:paraId="0A1672A3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126" w:type="dxa"/>
          </w:tcPr>
          <w:p w14:paraId="1A389A34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663" w:type="dxa"/>
          </w:tcPr>
          <w:p w14:paraId="08807F35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Nav.</w:t>
            </w:r>
          </w:p>
        </w:tc>
      </w:tr>
    </w:tbl>
    <w:p w14:paraId="4C3A1308" w14:textId="77777777" w:rsidR="00393BEE" w:rsidRPr="002F3D83" w:rsidRDefault="00393BEE" w:rsidP="00393BEE">
      <w:pPr>
        <w:pStyle w:val="Bezatstarpm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lv-LV"/>
        </w:rPr>
      </w:pPr>
    </w:p>
    <w:tbl>
      <w:tblPr>
        <w:tblStyle w:val="Reatabula"/>
        <w:tblW w:w="9067" w:type="dxa"/>
        <w:jc w:val="center"/>
        <w:tblLook w:val="04A0" w:firstRow="1" w:lastRow="0" w:firstColumn="1" w:lastColumn="0" w:noHBand="0" w:noVBand="1"/>
      </w:tblPr>
      <w:tblGrid>
        <w:gridCol w:w="392"/>
        <w:gridCol w:w="2532"/>
        <w:gridCol w:w="6143"/>
      </w:tblGrid>
      <w:tr w:rsidR="002F3D83" w:rsidRPr="002F3D83" w14:paraId="698C7080" w14:textId="77777777" w:rsidTr="00BE5C57">
        <w:trPr>
          <w:jc w:val="center"/>
        </w:trPr>
        <w:tc>
          <w:tcPr>
            <w:tcW w:w="9067" w:type="dxa"/>
            <w:gridSpan w:val="3"/>
          </w:tcPr>
          <w:p w14:paraId="6AF8E595" w14:textId="77777777" w:rsidR="00393BEE" w:rsidRPr="002F3D83" w:rsidRDefault="00393BEE" w:rsidP="00FA340F">
            <w:pPr>
              <w:pStyle w:val="Bezatstarpm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2F3D83" w:rsidRPr="002F3D83" w14:paraId="62B80013" w14:textId="77777777" w:rsidTr="00BE5C57">
        <w:trPr>
          <w:jc w:val="center"/>
        </w:trPr>
        <w:tc>
          <w:tcPr>
            <w:tcW w:w="392" w:type="dxa"/>
          </w:tcPr>
          <w:p w14:paraId="4BC4C394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lastRenderedPageBreak/>
              <w:t>1.</w:t>
            </w:r>
          </w:p>
        </w:tc>
        <w:tc>
          <w:tcPr>
            <w:tcW w:w="2532" w:type="dxa"/>
          </w:tcPr>
          <w:p w14:paraId="568FDFE1" w14:textId="77777777" w:rsidR="00393BEE" w:rsidRPr="002F3D83" w:rsidRDefault="00393BEE" w:rsidP="00D93007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Sabiedrības mērķgrupas, kuras tiesiskais regulējums ietekmē vai varētu ietekmēt</w:t>
            </w:r>
          </w:p>
        </w:tc>
        <w:tc>
          <w:tcPr>
            <w:tcW w:w="6143" w:type="dxa"/>
          </w:tcPr>
          <w:p w14:paraId="2A3747F4" w14:textId="1E842568" w:rsidR="00AC67C8" w:rsidRPr="002F3D83" w:rsidRDefault="009569E4" w:rsidP="00FA340F">
            <w:pPr>
              <w:jc w:val="both"/>
              <w:rPr>
                <w:color w:val="000000" w:themeColor="text1"/>
                <w:spacing w:val="-2"/>
              </w:rPr>
            </w:pPr>
            <w:r w:rsidRPr="002F3D83">
              <w:rPr>
                <w:color w:val="000000" w:themeColor="text1"/>
                <w:spacing w:val="-2"/>
              </w:rPr>
              <w:t>Tiesiskais regulēj</w:t>
            </w:r>
            <w:r w:rsidR="00E34F76" w:rsidRPr="002F3D83">
              <w:rPr>
                <w:color w:val="000000" w:themeColor="text1"/>
                <w:spacing w:val="-2"/>
              </w:rPr>
              <w:t>ums attiecas uz</w:t>
            </w:r>
            <w:r w:rsidR="00AC67C8" w:rsidRPr="002F3D83">
              <w:rPr>
                <w:color w:val="000000" w:themeColor="text1"/>
                <w:spacing w:val="-2"/>
              </w:rPr>
              <w:t>:</w:t>
            </w:r>
          </w:p>
          <w:p w14:paraId="04B7F2B2" w14:textId="2A6A1ACC" w:rsidR="000C1D33" w:rsidRPr="00BE5C57" w:rsidRDefault="00535BEA" w:rsidP="00BE5C57">
            <w:pPr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 xml:space="preserve">1) </w:t>
            </w:r>
            <w:r w:rsidR="00E34F76" w:rsidRPr="00BE5C57">
              <w:rPr>
                <w:color w:val="000000" w:themeColor="text1"/>
                <w:spacing w:val="-2"/>
              </w:rPr>
              <w:t xml:space="preserve">mājas (istabas) </w:t>
            </w:r>
            <w:r w:rsidR="009569E4" w:rsidRPr="00BE5C57">
              <w:rPr>
                <w:color w:val="000000" w:themeColor="text1"/>
                <w:spacing w:val="-2"/>
              </w:rPr>
              <w:t>dzīvnieku īpašniekiem</w:t>
            </w:r>
            <w:r w:rsidR="000C1D33" w:rsidRPr="00BE5C57">
              <w:rPr>
                <w:color w:val="000000" w:themeColor="text1"/>
                <w:spacing w:val="-2"/>
              </w:rPr>
              <w:t>;</w:t>
            </w:r>
          </w:p>
          <w:p w14:paraId="22F95BC9" w14:textId="6653EC53" w:rsidR="000C1D33" w:rsidRPr="00BE5C57" w:rsidRDefault="00535BEA" w:rsidP="00BE5C57">
            <w:pPr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</w:rPr>
              <w:t xml:space="preserve">2) </w:t>
            </w:r>
            <w:r w:rsidR="003E61E2" w:rsidRPr="00BE5C57">
              <w:rPr>
                <w:color w:val="000000" w:themeColor="text1"/>
              </w:rPr>
              <w:t>mājas (istabas) dzīvnieku</w:t>
            </w:r>
            <w:r w:rsidR="000C1D33" w:rsidRPr="00BE5C57">
              <w:rPr>
                <w:color w:val="000000" w:themeColor="text1"/>
              </w:rPr>
              <w:t xml:space="preserve"> turētājie</w:t>
            </w:r>
            <w:r w:rsidR="003E61E2" w:rsidRPr="00BE5C57">
              <w:rPr>
                <w:color w:val="000000" w:themeColor="text1"/>
              </w:rPr>
              <w:t>m, ja mājas (istabas) dzīvnieku</w:t>
            </w:r>
            <w:r w:rsidR="000C1D33" w:rsidRPr="00BE5C57">
              <w:rPr>
                <w:color w:val="000000" w:themeColor="text1"/>
              </w:rPr>
              <w:t xml:space="preserve"> īpašnieks tos</w:t>
            </w:r>
            <w:r w:rsidR="003E61E2" w:rsidRPr="00BE5C57">
              <w:rPr>
                <w:color w:val="000000" w:themeColor="text1"/>
              </w:rPr>
              <w:t xml:space="preserve"> pilnvaro dzīvnieka</w:t>
            </w:r>
            <w:r w:rsidR="000C1D33" w:rsidRPr="00BE5C57">
              <w:rPr>
                <w:color w:val="000000" w:themeColor="text1"/>
              </w:rPr>
              <w:t xml:space="preserve"> reģistrācijai;</w:t>
            </w:r>
          </w:p>
          <w:p w14:paraId="537B7764" w14:textId="5D1F862B" w:rsidR="000C1D33" w:rsidRPr="00BE5C57" w:rsidRDefault="00535BEA" w:rsidP="00BE5C57">
            <w:pPr>
              <w:jc w:val="both"/>
              <w:rPr>
                <w:color w:val="000000" w:themeColor="text1"/>
                <w:spacing w:val="-2"/>
              </w:rPr>
            </w:pPr>
            <w:r w:rsidRPr="00BE5C57">
              <w:rPr>
                <w:color w:val="000000" w:themeColor="text1"/>
                <w:spacing w:val="-2"/>
              </w:rPr>
              <w:t xml:space="preserve">3) </w:t>
            </w:r>
            <w:r w:rsidR="00A857CA">
              <w:rPr>
                <w:color w:val="000000" w:themeColor="text1"/>
                <w:spacing w:val="-2"/>
              </w:rPr>
              <w:t xml:space="preserve">praktizējošiem </w:t>
            </w:r>
            <w:r w:rsidR="00AC67C8" w:rsidRPr="00BE5C57">
              <w:rPr>
                <w:color w:val="000000" w:themeColor="text1"/>
                <w:spacing w:val="-2"/>
              </w:rPr>
              <w:t>veterinār</w:t>
            </w:r>
            <w:r w:rsidR="000C1D33" w:rsidRPr="00BE5C57">
              <w:rPr>
                <w:color w:val="000000" w:themeColor="text1"/>
                <w:spacing w:val="-2"/>
              </w:rPr>
              <w:t>ārstiem;</w:t>
            </w:r>
          </w:p>
          <w:p w14:paraId="1C9B68A9" w14:textId="066F34DA" w:rsidR="000C1D33" w:rsidRPr="00BE5C57" w:rsidRDefault="00535BEA" w:rsidP="00BE5C57">
            <w:pPr>
              <w:jc w:val="both"/>
              <w:rPr>
                <w:color w:val="000000" w:themeColor="text1"/>
                <w:spacing w:val="-2"/>
              </w:rPr>
            </w:pPr>
            <w:r w:rsidRPr="00BE5C57">
              <w:rPr>
                <w:color w:val="000000" w:themeColor="text1"/>
              </w:rPr>
              <w:t xml:space="preserve">4) </w:t>
            </w:r>
            <w:r w:rsidR="00AC67C8" w:rsidRPr="00BE5C57">
              <w:rPr>
                <w:color w:val="000000" w:themeColor="text1"/>
              </w:rPr>
              <w:t>pašvaldību darbin</w:t>
            </w:r>
            <w:r w:rsidR="000C1D33" w:rsidRPr="00BE5C57">
              <w:rPr>
                <w:color w:val="000000" w:themeColor="text1"/>
              </w:rPr>
              <w:t>iekiem (pilnvarotajām personām);</w:t>
            </w:r>
            <w:r w:rsidR="00AC67C8" w:rsidRPr="00BE5C57">
              <w:rPr>
                <w:color w:val="000000" w:themeColor="text1"/>
              </w:rPr>
              <w:t xml:space="preserve"> </w:t>
            </w:r>
          </w:p>
          <w:p w14:paraId="688C8FC8" w14:textId="35915BCD" w:rsidR="00393BEE" w:rsidRPr="00BE5C57" w:rsidRDefault="00535BEA" w:rsidP="00BE5C57">
            <w:pPr>
              <w:jc w:val="both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</w:rPr>
              <w:t xml:space="preserve">5) </w:t>
            </w:r>
            <w:r w:rsidR="00AC67C8" w:rsidRPr="00BE5C57">
              <w:rPr>
                <w:color w:val="000000" w:themeColor="text1"/>
              </w:rPr>
              <w:t xml:space="preserve">dienesta darbiniekiem. </w:t>
            </w:r>
          </w:p>
          <w:p w14:paraId="1DAAC007" w14:textId="37AA22C8" w:rsidR="003D673A" w:rsidRPr="002F3D83" w:rsidRDefault="003D673A" w:rsidP="003D673A">
            <w:pPr>
              <w:jc w:val="both"/>
              <w:rPr>
                <w:color w:val="000000" w:themeColor="text1"/>
              </w:rPr>
            </w:pPr>
            <w:r w:rsidRPr="002F3D83">
              <w:rPr>
                <w:color w:val="000000" w:themeColor="text1"/>
              </w:rPr>
              <w:t xml:space="preserve">Patlaban datu centra mājas (istabas) dzīvnieku </w:t>
            </w:r>
            <w:r w:rsidR="008D1DF6" w:rsidRPr="002F3D83">
              <w:rPr>
                <w:color w:val="000000" w:themeColor="text1"/>
              </w:rPr>
              <w:t xml:space="preserve">reģistra datubāzē </w:t>
            </w:r>
            <w:r w:rsidR="00E77699">
              <w:rPr>
                <w:color w:val="000000" w:themeColor="text1"/>
              </w:rPr>
              <w:t xml:space="preserve">ir </w:t>
            </w:r>
            <w:r w:rsidR="008D1DF6" w:rsidRPr="002F3D83">
              <w:rPr>
                <w:color w:val="000000" w:themeColor="text1"/>
              </w:rPr>
              <w:t>reģistrēti 154</w:t>
            </w:r>
            <w:r w:rsidRPr="002F3D83">
              <w:rPr>
                <w:color w:val="000000" w:themeColor="text1"/>
              </w:rPr>
              <w:t xml:space="preserve"> </w:t>
            </w:r>
            <w:r w:rsidR="008D1DF6" w:rsidRPr="002F3D83">
              <w:rPr>
                <w:color w:val="000000" w:themeColor="text1"/>
              </w:rPr>
              <w:t>753</w:t>
            </w:r>
            <w:r w:rsidR="002A4239" w:rsidRPr="002F3D83">
              <w:rPr>
                <w:color w:val="000000" w:themeColor="text1"/>
              </w:rPr>
              <w:t xml:space="preserve"> mājas (istabas) dzīvnieki (147</w:t>
            </w:r>
            <w:r w:rsidR="00E77699">
              <w:rPr>
                <w:color w:val="000000" w:themeColor="text1"/>
              </w:rPr>
              <w:t> </w:t>
            </w:r>
            <w:r w:rsidR="002A4239" w:rsidRPr="002F3D83">
              <w:rPr>
                <w:color w:val="000000" w:themeColor="text1"/>
              </w:rPr>
              <w:t>654 suņi, 6968 kaķi un 109</w:t>
            </w:r>
            <w:r w:rsidRPr="002F3D83">
              <w:rPr>
                <w:color w:val="000000" w:themeColor="text1"/>
              </w:rPr>
              <w:t xml:space="preserve"> seski).</w:t>
            </w:r>
          </w:p>
          <w:p w14:paraId="220EA35C" w14:textId="0229FA15" w:rsidR="001C1F49" w:rsidRPr="002F3D83" w:rsidRDefault="003D673A" w:rsidP="003D673A">
            <w:pPr>
              <w:jc w:val="both"/>
              <w:rPr>
                <w:color w:val="000000" w:themeColor="text1"/>
              </w:rPr>
            </w:pPr>
            <w:r w:rsidRPr="002F3D83">
              <w:rPr>
                <w:color w:val="000000" w:themeColor="text1"/>
              </w:rPr>
              <w:t xml:space="preserve">Patlaban datu centra mājas (istabas) dzīvnieku reģistra datubāzē </w:t>
            </w:r>
            <w:r w:rsidR="00E77699" w:rsidRPr="002F3D83">
              <w:rPr>
                <w:color w:val="000000" w:themeColor="text1"/>
              </w:rPr>
              <w:t>netiek norādīt</w:t>
            </w:r>
            <w:r w:rsidR="00E77699">
              <w:rPr>
                <w:color w:val="000000" w:themeColor="text1"/>
              </w:rPr>
              <w:t>a</w:t>
            </w:r>
            <w:r w:rsidR="00E77699" w:rsidRPr="002F3D83">
              <w:rPr>
                <w:color w:val="000000" w:themeColor="text1"/>
              </w:rPr>
              <w:t xml:space="preserve"> </w:t>
            </w:r>
            <w:r w:rsidRPr="002F3D83">
              <w:rPr>
                <w:color w:val="000000" w:themeColor="text1"/>
              </w:rPr>
              <w:t>informācija par mājas (istabas) dzīvnieka turētāju.</w:t>
            </w:r>
          </w:p>
          <w:p w14:paraId="6339F69F" w14:textId="1F6B9933" w:rsidR="002F3D83" w:rsidRPr="002F3D83" w:rsidRDefault="00E77699" w:rsidP="002F3D8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Pašlaik</w:t>
            </w:r>
            <w:r w:rsidR="008643CF" w:rsidRPr="002F3D83">
              <w:rPr>
                <w:color w:val="000000" w:themeColor="text1"/>
              </w:rPr>
              <w:t xml:space="preserve"> Latvijā ir</w:t>
            </w:r>
            <w:r w:rsidR="00C94320" w:rsidRPr="002F3D83">
              <w:rPr>
                <w:color w:val="000000" w:themeColor="text1"/>
              </w:rPr>
              <w:t xml:space="preserve"> reģistrēti</w:t>
            </w:r>
            <w:r w:rsidR="008643CF" w:rsidRPr="002F3D83">
              <w:rPr>
                <w:color w:val="000000" w:themeColor="text1"/>
              </w:rPr>
              <w:t xml:space="preserve"> 1060 sertificēti </w:t>
            </w:r>
            <w:r w:rsidR="00A857CA">
              <w:rPr>
                <w:color w:val="000000" w:themeColor="text1"/>
              </w:rPr>
              <w:t xml:space="preserve">praktizējoši </w:t>
            </w:r>
            <w:r w:rsidR="008643CF" w:rsidRPr="002F3D83">
              <w:rPr>
                <w:color w:val="000000" w:themeColor="text1"/>
              </w:rPr>
              <w:t>veterinārārsti.</w:t>
            </w:r>
          </w:p>
          <w:p w14:paraId="7374CBB6" w14:textId="72D14E46" w:rsidR="002F3D83" w:rsidRPr="002F3D83" w:rsidRDefault="002F3D83" w:rsidP="003D673A">
            <w:pPr>
              <w:jc w:val="both"/>
              <w:rPr>
                <w:color w:val="000000" w:themeColor="text1"/>
                <w:spacing w:val="-2"/>
              </w:rPr>
            </w:pPr>
            <w:r w:rsidRPr="002F3D83">
              <w:rPr>
                <w:color w:val="000000" w:themeColor="text1"/>
              </w:rPr>
              <w:t xml:space="preserve">Mērķgrupas aptuveno lielumu vai </w:t>
            </w:r>
            <w:r w:rsidR="004969C6">
              <w:rPr>
                <w:color w:val="000000" w:themeColor="text1"/>
              </w:rPr>
              <w:t xml:space="preserve">to personu </w:t>
            </w:r>
            <w:r w:rsidRPr="002F3D83">
              <w:rPr>
                <w:color w:val="000000" w:themeColor="text1"/>
              </w:rPr>
              <w:t>īpatsvaru</w:t>
            </w:r>
            <w:r>
              <w:rPr>
                <w:color w:val="000000" w:themeColor="text1"/>
              </w:rPr>
              <w:t xml:space="preserve">, </w:t>
            </w:r>
            <w:r w:rsidRPr="002F3D83">
              <w:rPr>
                <w:color w:val="000000" w:themeColor="text1"/>
              </w:rPr>
              <w:t>k</w:t>
            </w:r>
            <w:r w:rsidR="004969C6">
              <w:rPr>
                <w:color w:val="000000" w:themeColor="text1"/>
              </w:rPr>
              <w:t>ur</w:t>
            </w:r>
            <w:r w:rsidRPr="002F3D83">
              <w:rPr>
                <w:color w:val="000000" w:themeColor="text1"/>
              </w:rPr>
              <w:t>as būs pārkāpušas Veterinārmedicīnas likuma vai citu veterinārmedicīnas jomu regulējošo normatīvo aktu prasības</w:t>
            </w:r>
            <w:r w:rsidR="004969C6">
              <w:rPr>
                <w:color w:val="000000" w:themeColor="text1"/>
              </w:rPr>
              <w:t>,</w:t>
            </w:r>
            <w:r w:rsidRPr="002F3D83">
              <w:rPr>
                <w:color w:val="000000" w:themeColor="text1"/>
              </w:rPr>
              <w:t xml:space="preserve"> nav iespējams noteikt, jo nevar paredzēt, cik personu neizpildīs attiecīgajos normatīvajos aktos noteiktās prasības.</w:t>
            </w:r>
          </w:p>
        </w:tc>
      </w:tr>
      <w:tr w:rsidR="002F3D83" w:rsidRPr="002F3D83" w14:paraId="1007A5D7" w14:textId="77777777" w:rsidTr="00BE5C57">
        <w:trPr>
          <w:jc w:val="center"/>
        </w:trPr>
        <w:tc>
          <w:tcPr>
            <w:tcW w:w="392" w:type="dxa"/>
          </w:tcPr>
          <w:p w14:paraId="47E7B597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532" w:type="dxa"/>
          </w:tcPr>
          <w:p w14:paraId="1F2E2FC9" w14:textId="77777777" w:rsidR="00393BEE" w:rsidRPr="002F3D83" w:rsidRDefault="00393BEE" w:rsidP="00FA340F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Tiesiskā regulējuma ietekme uz tautsaimniecību un administratīvo slogu</w:t>
            </w:r>
          </w:p>
        </w:tc>
        <w:tc>
          <w:tcPr>
            <w:tcW w:w="6143" w:type="dxa"/>
          </w:tcPr>
          <w:p w14:paraId="79461103" w14:textId="413A5E61" w:rsidR="00393BEE" w:rsidRPr="002F3D83" w:rsidRDefault="002C3EEB" w:rsidP="00ED4B6E">
            <w:pPr>
              <w:jc w:val="both"/>
              <w:rPr>
                <w:color w:val="000000" w:themeColor="text1"/>
                <w:spacing w:val="-2"/>
              </w:rPr>
            </w:pPr>
            <w:r w:rsidRPr="002F3D83">
              <w:rPr>
                <w:color w:val="000000" w:themeColor="text1"/>
              </w:rPr>
              <w:t>Likumprojekta tiesiskais regulējums nemaina likumprojektā noteikto administratīvo pārkāpumu subjektu tiesības un pienākumus, ne arī veicamās darbības.</w:t>
            </w:r>
            <w:r w:rsidR="00CC65C0" w:rsidRPr="002F3D83">
              <w:rPr>
                <w:color w:val="000000" w:themeColor="text1"/>
              </w:rPr>
              <w:t xml:space="preserve"> Likumprojekts nepalielina administratīvo slogu.</w:t>
            </w:r>
          </w:p>
        </w:tc>
      </w:tr>
      <w:tr w:rsidR="002F3D83" w:rsidRPr="002F3D83" w14:paraId="6CB6EA82" w14:textId="77777777" w:rsidTr="00BE5C57">
        <w:trPr>
          <w:jc w:val="center"/>
        </w:trPr>
        <w:tc>
          <w:tcPr>
            <w:tcW w:w="392" w:type="dxa"/>
          </w:tcPr>
          <w:p w14:paraId="1071E56D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532" w:type="dxa"/>
          </w:tcPr>
          <w:p w14:paraId="7C7B4289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Administratīvo izmaksu monetārs novērtējums</w:t>
            </w:r>
          </w:p>
        </w:tc>
        <w:tc>
          <w:tcPr>
            <w:tcW w:w="6143" w:type="dxa"/>
          </w:tcPr>
          <w:p w14:paraId="1FB48DF6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Projekts šo jomu neskar.</w:t>
            </w:r>
          </w:p>
        </w:tc>
      </w:tr>
      <w:tr w:rsidR="002F3D83" w:rsidRPr="002F3D83" w14:paraId="7A40A0B4" w14:textId="77777777" w:rsidTr="00BE5C57">
        <w:trPr>
          <w:jc w:val="center"/>
        </w:trPr>
        <w:tc>
          <w:tcPr>
            <w:tcW w:w="392" w:type="dxa"/>
          </w:tcPr>
          <w:p w14:paraId="404F7CC1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532" w:type="dxa"/>
          </w:tcPr>
          <w:p w14:paraId="4471D7F2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Atbilstības izmaksu monetārs novērtējums</w:t>
            </w:r>
          </w:p>
        </w:tc>
        <w:tc>
          <w:tcPr>
            <w:tcW w:w="6143" w:type="dxa"/>
          </w:tcPr>
          <w:p w14:paraId="5E7644F7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Projekts šo jomu neskar.</w:t>
            </w:r>
          </w:p>
        </w:tc>
      </w:tr>
      <w:tr w:rsidR="00393BEE" w:rsidRPr="002F3D83" w14:paraId="4FC6D594" w14:textId="77777777" w:rsidTr="00BE5C57">
        <w:trPr>
          <w:jc w:val="center"/>
        </w:trPr>
        <w:tc>
          <w:tcPr>
            <w:tcW w:w="392" w:type="dxa"/>
          </w:tcPr>
          <w:p w14:paraId="1C620597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532" w:type="dxa"/>
          </w:tcPr>
          <w:p w14:paraId="777D306B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6143" w:type="dxa"/>
          </w:tcPr>
          <w:p w14:paraId="18B76C6A" w14:textId="77777777" w:rsidR="00393BEE" w:rsidRPr="002F3D83" w:rsidRDefault="00393BEE" w:rsidP="00FA340F">
            <w:pPr>
              <w:pStyle w:val="Bezatstarpm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2F3D8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Nav.</w:t>
            </w:r>
          </w:p>
        </w:tc>
      </w:tr>
    </w:tbl>
    <w:p w14:paraId="19FC7C04" w14:textId="23C83BF8" w:rsidR="00F8692E" w:rsidRDefault="00F8692E" w:rsidP="00393BEE">
      <w:pPr>
        <w:pStyle w:val="Bezatstarpm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lv-LV"/>
        </w:rPr>
      </w:pPr>
    </w:p>
    <w:tbl>
      <w:tblPr>
        <w:tblW w:w="4983" w:type="pct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6"/>
        <w:gridCol w:w="920"/>
        <w:gridCol w:w="998"/>
        <w:gridCol w:w="1086"/>
        <w:gridCol w:w="1050"/>
        <w:gridCol w:w="1059"/>
        <w:gridCol w:w="1121"/>
        <w:gridCol w:w="994"/>
      </w:tblGrid>
      <w:tr w:rsidR="00596E61" w:rsidRPr="00673E0D" w14:paraId="26A63563" w14:textId="77777777" w:rsidTr="00FA340F">
        <w:tc>
          <w:tcPr>
            <w:tcW w:w="5000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9622EB2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  <w:r w:rsidRPr="00673E0D">
              <w:rPr>
                <w:b/>
                <w:bCs/>
                <w:lang w:val="lv-LV"/>
              </w:rPr>
              <w:t>III. Tiesību akta projekta ietekme uz valsts budžetu un pašvaldību budžetiem</w:t>
            </w:r>
          </w:p>
        </w:tc>
      </w:tr>
      <w:tr w:rsidR="00596E61" w:rsidRPr="00673E0D" w14:paraId="0353AEF7" w14:textId="77777777" w:rsidTr="00FA340F">
        <w:tc>
          <w:tcPr>
            <w:tcW w:w="99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5ADED2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bCs/>
                <w:lang w:val="lv-LV"/>
              </w:rPr>
            </w:pPr>
            <w:r w:rsidRPr="00673E0D">
              <w:rPr>
                <w:bCs/>
                <w:lang w:val="lv-LV"/>
              </w:rPr>
              <w:t>Rādītāji</w:t>
            </w:r>
          </w:p>
        </w:tc>
        <w:tc>
          <w:tcPr>
            <w:tcW w:w="1063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622FF8C" w14:textId="1C64C7A5" w:rsidR="00596E61" w:rsidRPr="00673E0D" w:rsidRDefault="00C64884" w:rsidP="00FA340F">
            <w:pPr>
              <w:pStyle w:val="Paraststmeklis"/>
              <w:spacing w:before="0" w:beforeAutospacing="0" w:after="0" w:afterAutospacing="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2019. </w:t>
            </w:r>
            <w:r w:rsidR="00596E61" w:rsidRPr="00673E0D">
              <w:rPr>
                <w:bCs/>
                <w:lang w:val="lv-LV"/>
              </w:rPr>
              <w:t>gads</w:t>
            </w:r>
          </w:p>
        </w:tc>
        <w:tc>
          <w:tcPr>
            <w:tcW w:w="294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7B26EDC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Turpmākie trīs gadi (</w:t>
            </w:r>
            <w:proofErr w:type="spellStart"/>
            <w:r w:rsidRPr="00673E0D">
              <w:rPr>
                <w:i/>
                <w:lang w:val="lv-LV"/>
              </w:rPr>
              <w:t>euro</w:t>
            </w:r>
            <w:proofErr w:type="spellEnd"/>
            <w:r w:rsidRPr="00673E0D">
              <w:rPr>
                <w:lang w:val="lv-LV"/>
              </w:rPr>
              <w:t>)</w:t>
            </w:r>
          </w:p>
        </w:tc>
      </w:tr>
      <w:tr w:rsidR="00596E61" w:rsidRPr="00673E0D" w14:paraId="0E4EB56A" w14:textId="77777777" w:rsidTr="00FA340F">
        <w:tc>
          <w:tcPr>
            <w:tcW w:w="995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6BE052" w14:textId="77777777" w:rsidR="00596E61" w:rsidRPr="00673E0D" w:rsidRDefault="00596E61" w:rsidP="00FA340F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063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89722D" w14:textId="77777777" w:rsidR="00596E61" w:rsidRPr="00673E0D" w:rsidRDefault="00596E61" w:rsidP="00FA340F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118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0EDDE4B" w14:textId="71F28F5D" w:rsidR="00596E61" w:rsidRPr="00673E0D" w:rsidRDefault="00C64884" w:rsidP="00FA340F">
            <w:pPr>
              <w:pStyle w:val="Paraststmeklis"/>
              <w:spacing w:before="0" w:beforeAutospacing="0" w:after="0" w:afterAutospacing="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2020.</w:t>
            </w:r>
          </w:p>
        </w:tc>
        <w:tc>
          <w:tcPr>
            <w:tcW w:w="120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075DB0F" w14:textId="3D96C924" w:rsidR="00596E61" w:rsidRPr="00673E0D" w:rsidRDefault="00C64884" w:rsidP="00FA340F">
            <w:pPr>
              <w:pStyle w:val="Paraststmeklis"/>
              <w:spacing w:before="0" w:beforeAutospacing="0" w:after="0" w:afterAutospacing="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2021.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646192EF" w14:textId="4493BFCB" w:rsidR="00596E61" w:rsidRPr="00673E0D" w:rsidRDefault="00C64884" w:rsidP="00FA340F">
            <w:pPr>
              <w:pStyle w:val="Paraststmeklis"/>
              <w:spacing w:before="0" w:beforeAutospacing="0" w:after="0" w:afterAutospacing="0"/>
              <w:jc w:val="center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2022.</w:t>
            </w:r>
          </w:p>
        </w:tc>
      </w:tr>
      <w:tr w:rsidR="00596E61" w:rsidRPr="00673E0D" w14:paraId="644A3897" w14:textId="77777777" w:rsidTr="00FA340F">
        <w:tc>
          <w:tcPr>
            <w:tcW w:w="99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C926E22" w14:textId="77777777" w:rsidR="00596E61" w:rsidRPr="00673E0D" w:rsidRDefault="00596E61" w:rsidP="00FA340F">
            <w:pPr>
              <w:rPr>
                <w:rFonts w:eastAsia="Arial Unicode MS"/>
                <w:b/>
                <w:bCs/>
              </w:rPr>
            </w:pP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8980B42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saskaņā ar valsts budžetu kārtējam gadam</w:t>
            </w: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BF4B507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izmaiņas kārtējā gadā, salīdzinot ar valsts budžetu kārtējam gadam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5D17D0D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saskaņā ar vidēja termiņa budžeta ietvaru</w:t>
            </w: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0B71558" w14:textId="6F5CE34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 xml:space="preserve">izmaiņas, salīdzinot ar vidēja termiņa budžeta ietvaru </w:t>
            </w:r>
            <w:r w:rsidR="00C64884">
              <w:rPr>
                <w:lang w:val="lv-LV"/>
              </w:rPr>
              <w:t>2020.</w:t>
            </w:r>
            <w:r w:rsidRPr="00673E0D">
              <w:rPr>
                <w:lang w:val="lv-LV"/>
              </w:rPr>
              <w:t xml:space="preserve"> gadam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2ABA9E99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saskaņā ar vidēja termiņa budžeta ietvaru</w:t>
            </w: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4630DF3" w14:textId="6229AF10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 xml:space="preserve">izmaiņas, salīdzinot ar vidēja termiņa budžeta ietvaru </w:t>
            </w:r>
            <w:r w:rsidR="00C64884">
              <w:rPr>
                <w:lang w:val="lv-LV"/>
              </w:rPr>
              <w:t>2021.</w:t>
            </w:r>
            <w:r w:rsidRPr="00673E0D">
              <w:rPr>
                <w:lang w:val="lv-LV"/>
              </w:rPr>
              <w:t xml:space="preserve"> gadam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771B1038" w14:textId="38633679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izmaiņas, salīdzinot ar vidēja termiņa budžeta ietvaru 2</w:t>
            </w:r>
            <w:r w:rsidR="00C64884">
              <w:rPr>
                <w:lang w:val="lv-LV"/>
              </w:rPr>
              <w:t>021.</w:t>
            </w:r>
            <w:r w:rsidRPr="00673E0D">
              <w:rPr>
                <w:lang w:val="lv-LV"/>
              </w:rPr>
              <w:t xml:space="preserve"> gadam</w:t>
            </w:r>
          </w:p>
        </w:tc>
      </w:tr>
      <w:tr w:rsidR="00596E61" w:rsidRPr="00673E0D" w14:paraId="354B24A8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0E69E9A0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1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03460C4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2</w:t>
            </w: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70F72D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3</w:t>
            </w: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3CC74720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4</w:t>
            </w: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005EEE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5</w:t>
            </w: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D46B52A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6</w:t>
            </w: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CA0EAE4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7</w:t>
            </w: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4460167A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 w:rsidRPr="00673E0D">
              <w:rPr>
                <w:lang w:val="lv-LV"/>
              </w:rPr>
              <w:t>8</w:t>
            </w:r>
          </w:p>
        </w:tc>
      </w:tr>
      <w:tr w:rsidR="00596E61" w:rsidRPr="00673E0D" w14:paraId="57EC4D38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ECA0ECF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1. Budžeta ieņēmumi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A6E381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72B091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BEC894F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C5C855A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748585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32FF28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0737215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</w:tr>
      <w:tr w:rsidR="00596E61" w:rsidRPr="00673E0D" w14:paraId="1732FF73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F5B4306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 xml:space="preserve">1.1. valsts pamatbudžets, tai skaitā ieņēmumi no maksas pakalpojumiem </w:t>
            </w:r>
            <w:r w:rsidRPr="00673E0D">
              <w:rPr>
                <w:lang w:val="lv-LV"/>
              </w:rPr>
              <w:lastRenderedPageBreak/>
              <w:t>un citi pašu ieņēmumi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27035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2B6EE8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E8878D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A53185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1699A8E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5AE7E4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7EF968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35C9E50C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A7E8B36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1.2. valsts speciālais 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3AF6572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AD37D2F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E766BD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012C83B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9845B8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BB765DC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5CB5D60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19EC87D4" w14:textId="77777777" w:rsidTr="00FA340F">
        <w:trPr>
          <w:trHeight w:val="158"/>
        </w:trPr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D64C78A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1.3. pašvaldību 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E47CC3B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72B7C4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300CD38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CDB038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EE03C6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F139BF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E5264A9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70E9D141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2223A117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2. Budžeta izdevumi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BE7B75C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372339E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32FD28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226A953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3A74B3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D9BBC8F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A9DC05F" w14:textId="77777777" w:rsidR="00596E61" w:rsidRPr="00673E0D" w:rsidRDefault="00596E61" w:rsidP="00FA340F">
            <w:pPr>
              <w:jc w:val="center"/>
              <w:rPr>
                <w:b/>
              </w:rPr>
            </w:pPr>
          </w:p>
        </w:tc>
      </w:tr>
      <w:tr w:rsidR="00596E61" w:rsidRPr="00673E0D" w14:paraId="28F2E22F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50D9529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2.1. valsts pamatbudžets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5202B2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E232D5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68E22DD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5DC5917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152BB46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DE71FE7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BFD8F4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4E49C0E8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08DBDAE0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2.2. valsts speciālais 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56886E2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60B7F3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21B54A4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D8AE94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2315A4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E0202CD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E326496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7921BA44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7E7A6C21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2.3. pašvaldību 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99324C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CF5AFD7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867BFFE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3D5AE7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FD50B6A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B239D86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5F0A7A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304D875C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DF3BBA4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3. Finansiālā ietekme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A723CA6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B8D7D6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E0FBA3E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C68CBCB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B5EFA8C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BE917F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AE0774D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44CFAFA3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294EABB7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3.1. valsts pamatbudžets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A1E5669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E5C633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1F15403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30EDDA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A219A4A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628D769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7DC9868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2A634F17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6E91E298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3.2. speciālais 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DAECE03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6223F66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AE72510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85BE1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D9513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D0C956D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CD3B29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7FBCDB07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3EDDEBDD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3.3. pašvaldību budžets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2AE5433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4E11D57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B2F7343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665B75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736806F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0E9EC48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1A4458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42FD9F49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2B8D83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4. Finanšu līdzekļi papildu izde</w:t>
            </w:r>
            <w:r w:rsidRPr="00673E0D">
              <w:rPr>
                <w:lang w:val="lv-LV"/>
              </w:rPr>
              <w:softHyphen/>
              <w:t>vumu finansēšanai (kompensējošu izdevumu samazinājumu norāda ar "+" zīmi)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0E098B5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4F217B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DC461B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1E4C6BA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A8981F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EE0D333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13219F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3524C761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6D49B26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5. Precizēta finansiālā ietekme</w:t>
            </w:r>
          </w:p>
        </w:tc>
        <w:tc>
          <w:tcPr>
            <w:tcW w:w="5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7550BC4B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55491FE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7183C9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5D96694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040E3DB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47202DA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4E44B2D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45C65ECD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F019965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5.1. valsts pamatbudžets</w:t>
            </w:r>
          </w:p>
        </w:tc>
        <w:tc>
          <w:tcPr>
            <w:tcW w:w="5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B66AAA1" w14:textId="77777777" w:rsidR="00596E61" w:rsidRPr="00673E0D" w:rsidRDefault="00596E61" w:rsidP="00FA340F">
            <w:pPr>
              <w:jc w:val="center"/>
              <w:rPr>
                <w:rFonts w:eastAsia="Arial Unicode MS"/>
              </w:rPr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CACD4C2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D6ACA07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4D5472E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518AB57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E721D9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AE53244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24ECE67A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662FC14D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5.2. speciālais budžets</w:t>
            </w:r>
          </w:p>
        </w:tc>
        <w:tc>
          <w:tcPr>
            <w:tcW w:w="5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1179737" w14:textId="77777777" w:rsidR="00596E61" w:rsidRPr="00673E0D" w:rsidRDefault="00596E61" w:rsidP="00FA340F">
            <w:pPr>
              <w:jc w:val="center"/>
              <w:rPr>
                <w:rFonts w:eastAsia="Arial Unicode MS"/>
              </w:rPr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110F692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CFED7E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DD6EC4B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33B3D8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871A98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D140ABE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629AC14E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2F52ACCA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5.3. pašvaldību budžets</w:t>
            </w:r>
          </w:p>
        </w:tc>
        <w:tc>
          <w:tcPr>
            <w:tcW w:w="510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11BB8C64" w14:textId="77777777" w:rsidR="00596E61" w:rsidRPr="00673E0D" w:rsidRDefault="00596E61" w:rsidP="00FA340F">
            <w:pPr>
              <w:jc w:val="center"/>
              <w:rPr>
                <w:rFonts w:eastAsia="Arial Unicode MS"/>
              </w:rPr>
            </w:pPr>
          </w:p>
        </w:tc>
        <w:tc>
          <w:tcPr>
            <w:tcW w:w="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30584FC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0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5CB9B46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10C391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8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12B642C" w14:textId="77777777" w:rsidR="00596E61" w:rsidRPr="00673E0D" w:rsidRDefault="00596E61" w:rsidP="00FA340F">
            <w:pPr>
              <w:jc w:val="center"/>
            </w:pPr>
          </w:p>
        </w:tc>
        <w:tc>
          <w:tcPr>
            <w:tcW w:w="6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8AEC54D" w14:textId="77777777" w:rsidR="00596E61" w:rsidRPr="00673E0D" w:rsidRDefault="00596E61" w:rsidP="00FA340F">
            <w:pPr>
              <w:jc w:val="center"/>
            </w:pPr>
          </w:p>
        </w:tc>
        <w:tc>
          <w:tcPr>
            <w:tcW w:w="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D3E23B" w14:textId="77777777" w:rsidR="00596E61" w:rsidRPr="00673E0D" w:rsidRDefault="00596E61" w:rsidP="00FA340F">
            <w:pPr>
              <w:jc w:val="center"/>
            </w:pPr>
          </w:p>
        </w:tc>
      </w:tr>
      <w:tr w:rsidR="00596E61" w:rsidRPr="00673E0D" w14:paraId="4E0E3900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5F6BF4D" w14:textId="77777777" w:rsidR="00596E61" w:rsidRPr="00673E0D" w:rsidRDefault="00596E61" w:rsidP="00FA340F">
            <w:pPr>
              <w:pStyle w:val="Paraststmeklis"/>
              <w:spacing w:before="0" w:beforeAutospacing="0" w:after="0" w:afterAutospacing="0"/>
              <w:jc w:val="both"/>
              <w:rPr>
                <w:lang w:val="lv-LV"/>
              </w:rPr>
            </w:pPr>
            <w:r w:rsidRPr="00673E0D">
              <w:rPr>
                <w:lang w:val="lv-LV"/>
              </w:rPr>
              <w:t>6. Detalizēts ieņēmumu un izdevu</w:t>
            </w:r>
            <w:r w:rsidRPr="00673E0D">
              <w:rPr>
                <w:lang w:val="lv-LV"/>
              </w:rPr>
              <w:softHyphen/>
              <w:t xml:space="preserve">mu aprēķins (ja nepieciešams, detalizētu ieņēmumu un </w:t>
            </w:r>
            <w:r w:rsidRPr="00673E0D">
              <w:rPr>
                <w:lang w:val="lv-LV"/>
              </w:rPr>
              <w:lastRenderedPageBreak/>
              <w:t>izdevumu aprēķinu var pievienot anotācijas pielikumā)</w:t>
            </w:r>
          </w:p>
        </w:tc>
        <w:tc>
          <w:tcPr>
            <w:tcW w:w="4005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615D160" w14:textId="77777777" w:rsidR="00596E61" w:rsidRPr="00673E0D" w:rsidRDefault="00596E61" w:rsidP="00FA340F">
            <w:pPr>
              <w:pStyle w:val="Paraststmeklis"/>
              <w:tabs>
                <w:tab w:val="left" w:pos="720"/>
              </w:tabs>
              <w:spacing w:before="0" w:beforeAutospacing="0" w:after="0" w:afterAutospacing="0"/>
              <w:jc w:val="both"/>
              <w:rPr>
                <w:lang w:val="lv-LV"/>
              </w:rPr>
            </w:pPr>
          </w:p>
        </w:tc>
      </w:tr>
      <w:tr w:rsidR="00596E61" w:rsidRPr="00673E0D" w14:paraId="03AFED8B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12AD88C6" w14:textId="77777777" w:rsidR="00596E61" w:rsidRPr="00673E0D" w:rsidRDefault="00596E61" w:rsidP="00FA340F">
            <w:pPr>
              <w:jc w:val="both"/>
            </w:pPr>
            <w:r w:rsidRPr="00673E0D">
              <w:t>6.1. detalizēts ieņēmumu aprēķins</w:t>
            </w:r>
          </w:p>
        </w:tc>
        <w:tc>
          <w:tcPr>
            <w:tcW w:w="4005" w:type="pct"/>
            <w:gridSpan w:val="7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664CA41" w14:textId="77777777" w:rsidR="00596E61" w:rsidRPr="00673E0D" w:rsidRDefault="00596E61" w:rsidP="00FA340F"/>
        </w:tc>
      </w:tr>
      <w:tr w:rsidR="00596E61" w:rsidRPr="00673E0D" w14:paraId="61B5EAA0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0F389D61" w14:textId="77777777" w:rsidR="00596E61" w:rsidRPr="00673E0D" w:rsidRDefault="00596E61" w:rsidP="00FA340F">
            <w:pPr>
              <w:jc w:val="both"/>
            </w:pPr>
            <w:r w:rsidRPr="00673E0D">
              <w:t>6.2. detalizēts izdevumu aprēķins</w:t>
            </w:r>
          </w:p>
        </w:tc>
        <w:tc>
          <w:tcPr>
            <w:tcW w:w="4005" w:type="pct"/>
            <w:gridSpan w:val="7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FA4857" w14:textId="77777777" w:rsidR="00596E61" w:rsidRPr="00673E0D" w:rsidRDefault="00596E61" w:rsidP="00FA340F">
            <w:pPr>
              <w:jc w:val="center"/>
            </w:pPr>
          </w:p>
        </w:tc>
      </w:tr>
      <w:tr w:rsidR="00BB5AB3" w:rsidRPr="00673E0D" w14:paraId="1A114C05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AF6DEBC" w14:textId="77777777" w:rsidR="00BB5AB3" w:rsidRPr="00673E0D" w:rsidRDefault="00BB5AB3" w:rsidP="00BB5AB3">
            <w:pPr>
              <w:jc w:val="both"/>
            </w:pPr>
            <w:r w:rsidRPr="00673E0D">
              <w:t>7. Amata vietu skaita izmaiņas</w:t>
            </w:r>
          </w:p>
        </w:tc>
        <w:tc>
          <w:tcPr>
            <w:tcW w:w="4005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CB8746" w14:textId="50025F55" w:rsidR="00BB5AB3" w:rsidRPr="004859FC" w:rsidRDefault="00BB5AB3" w:rsidP="00BB5AB3">
            <w:pPr>
              <w:pStyle w:val="Paraststmeklis"/>
              <w:tabs>
                <w:tab w:val="left" w:pos="720"/>
              </w:tabs>
              <w:spacing w:before="0" w:beforeAutospacing="0" w:after="0" w:afterAutospacing="0"/>
              <w:jc w:val="both"/>
              <w:rPr>
                <w:lang w:val="lv-LV"/>
              </w:rPr>
            </w:pPr>
            <w:r w:rsidRPr="004859FC">
              <w:rPr>
                <w:color w:val="000000" w:themeColor="text1"/>
                <w:spacing w:val="-2"/>
                <w:lang w:val="lv-LV"/>
              </w:rPr>
              <w:t>Projekts šo jomu neskar.</w:t>
            </w:r>
          </w:p>
        </w:tc>
      </w:tr>
      <w:tr w:rsidR="00BB5AB3" w:rsidRPr="00673E0D" w14:paraId="54A002BA" w14:textId="77777777" w:rsidTr="00FA340F">
        <w:tc>
          <w:tcPr>
            <w:tcW w:w="9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249E0926" w14:textId="77777777" w:rsidR="00BB5AB3" w:rsidRPr="00673E0D" w:rsidRDefault="00BB5AB3" w:rsidP="00BB5AB3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  <w:r w:rsidRPr="00673E0D">
              <w:rPr>
                <w:lang w:val="lv-LV"/>
              </w:rPr>
              <w:t>8. Cita informācija</w:t>
            </w:r>
          </w:p>
        </w:tc>
        <w:tc>
          <w:tcPr>
            <w:tcW w:w="4005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14:paraId="5DD1CC85" w14:textId="1E5DD7BD" w:rsidR="00BB5AB3" w:rsidRPr="00BE5C57" w:rsidRDefault="00BB5AB3" w:rsidP="00BB5AB3">
            <w:pPr>
              <w:spacing w:before="100" w:beforeAutospacing="1"/>
              <w:jc w:val="both"/>
              <w:rPr>
                <w:lang w:eastAsia="en-US"/>
              </w:rPr>
            </w:pPr>
            <w:r w:rsidRPr="00596E61">
              <w:t xml:space="preserve">Ieņēmumu ietekme uz valsts budžetu nav precīzi aprēķināma, jo sodu piemērošana nav tieši atkarīga no </w:t>
            </w:r>
            <w:r>
              <w:t xml:space="preserve">dienesta </w:t>
            </w:r>
            <w:r w:rsidRPr="00596E61">
              <w:t xml:space="preserve">un pašvaldību īstenotajiem pasākumiem. Soda piemērošana nav </w:t>
            </w:r>
            <w:r>
              <w:t>dienesta</w:t>
            </w:r>
            <w:r w:rsidRPr="00596E61">
              <w:t xml:space="preserve"> un pašvaldību darbības uzdevums un mērķis. Sodu piemēro tikai gadījumos, kad persona nav ievērojusi normatīvā regulējumā noteiktās prasības.</w:t>
            </w:r>
          </w:p>
        </w:tc>
      </w:tr>
    </w:tbl>
    <w:p w14:paraId="53B171A8" w14:textId="77777777" w:rsidR="00596E61" w:rsidRPr="002F3D83" w:rsidRDefault="00596E61" w:rsidP="00393BEE">
      <w:pPr>
        <w:pStyle w:val="Bezatstarpm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eastAsia="lv-LV"/>
        </w:rPr>
      </w:pPr>
    </w:p>
    <w:p w14:paraId="27DF5A01" w14:textId="1756913A" w:rsidR="00D871AE" w:rsidRDefault="00D871AE" w:rsidP="00393BEE">
      <w:pPr>
        <w:pStyle w:val="Bezatstarpm"/>
        <w:rPr>
          <w:rFonts w:ascii="Times New Roman" w:hAnsi="Times New Roman" w:cs="Times New Roman"/>
          <w:spacing w:val="-2"/>
          <w:sz w:val="24"/>
          <w:szCs w:val="24"/>
          <w:lang w:eastAsia="lv-LV"/>
        </w:rPr>
      </w:pPr>
    </w:p>
    <w:p w14:paraId="6F0E2AA5" w14:textId="77777777" w:rsidR="00BE5C57" w:rsidRPr="00D32A71" w:rsidRDefault="00BE5C57" w:rsidP="00393BEE">
      <w:pPr>
        <w:pStyle w:val="Bezatstarpm"/>
        <w:rPr>
          <w:rFonts w:ascii="Times New Roman" w:hAnsi="Times New Roman" w:cs="Times New Roman"/>
          <w:spacing w:val="-2"/>
          <w:sz w:val="24"/>
          <w:szCs w:val="24"/>
          <w:lang w:eastAsia="lv-LV"/>
        </w:rPr>
      </w:pPr>
    </w:p>
    <w:tbl>
      <w:tblPr>
        <w:tblStyle w:val="Reatabula"/>
        <w:tblW w:w="9077" w:type="dxa"/>
        <w:jc w:val="center"/>
        <w:tblLook w:val="04A0" w:firstRow="1" w:lastRow="0" w:firstColumn="1" w:lastColumn="0" w:noHBand="0" w:noVBand="1"/>
      </w:tblPr>
      <w:tblGrid>
        <w:gridCol w:w="9077"/>
      </w:tblGrid>
      <w:tr w:rsidR="00393BEE" w:rsidRPr="00D32A71" w14:paraId="7148A148" w14:textId="77777777" w:rsidTr="00541840">
        <w:trPr>
          <w:jc w:val="center"/>
        </w:trPr>
        <w:tc>
          <w:tcPr>
            <w:tcW w:w="9077" w:type="dxa"/>
          </w:tcPr>
          <w:p w14:paraId="2CFC9764" w14:textId="77777777" w:rsidR="00393BEE" w:rsidRPr="00D32A71" w:rsidRDefault="00393BEE" w:rsidP="00FA340F">
            <w:pPr>
              <w:pStyle w:val="Bezatstarpm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989"/>
        <w:gridCol w:w="5652"/>
      </w:tblGrid>
      <w:tr w:rsidR="00F7117E" w:rsidRPr="002120F2" w14:paraId="5809C3E2" w14:textId="77777777" w:rsidTr="0054184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BDB36" w14:textId="77777777" w:rsidR="00F7117E" w:rsidRPr="002120F2" w:rsidRDefault="00F7117E" w:rsidP="00FA340F">
            <w:pPr>
              <w:rPr>
                <w:rFonts w:ascii="Calibri" w:hAnsi="Calibri" w:cs="Calibri"/>
              </w:rPr>
            </w:pPr>
            <w:r w:rsidRPr="002120F2">
              <w:t>1.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E58B53" w14:textId="77777777" w:rsidR="00F7117E" w:rsidRPr="002120F2" w:rsidRDefault="00F7117E" w:rsidP="00FA340F">
            <w:pPr>
              <w:jc w:val="both"/>
              <w:rPr>
                <w:rFonts w:ascii="Calibri" w:hAnsi="Calibri" w:cs="Calibri"/>
              </w:rPr>
            </w:pPr>
            <w:r w:rsidRPr="002120F2">
              <w:t>Nepieciešamie saistītie tiesību aktu projekti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1EA76C" w14:textId="485EE2C8" w:rsidR="00F7117E" w:rsidRPr="002120F2" w:rsidRDefault="00F7117E">
            <w:pPr>
              <w:ind w:right="76"/>
              <w:jc w:val="both"/>
              <w:rPr>
                <w:rFonts w:ascii="Calibri" w:hAnsi="Calibri" w:cs="Calibri"/>
              </w:rPr>
            </w:pPr>
            <w:r w:rsidRPr="002120F2">
              <w:t xml:space="preserve">Likumprojekta normu ieviešanai </w:t>
            </w:r>
            <w:r w:rsidR="004969C6">
              <w:t>jā</w:t>
            </w:r>
            <w:r w:rsidRPr="002120F2">
              <w:t>sagatavo Ministru kabineta noteikumu</w:t>
            </w:r>
            <w:r w:rsidR="00A9796D">
              <w:t xml:space="preserve"> projekt</w:t>
            </w:r>
            <w:r w:rsidR="004969C6">
              <w:t>s</w:t>
            </w:r>
            <w:r w:rsidRPr="002120F2">
              <w:t>, k</w:t>
            </w:r>
            <w:r w:rsidR="004969C6">
              <w:t>urā</w:t>
            </w:r>
            <w:r w:rsidRPr="002120F2">
              <w:t xml:space="preserve"> no</w:t>
            </w:r>
            <w:r w:rsidR="004969C6">
              <w:t>teikta</w:t>
            </w:r>
            <w:r w:rsidRPr="002120F2">
              <w:t xml:space="preserve"> mājas (istabas) dzīvnieku apzīmēšanas un reģistrācijas kārtīb</w:t>
            </w:r>
            <w:r w:rsidR="00E01CAA">
              <w:t>a</w:t>
            </w:r>
            <w:r w:rsidRPr="002120F2">
              <w:t>, maksas apmēr</w:t>
            </w:r>
            <w:r w:rsidR="00E01CAA">
              <w:t>s</w:t>
            </w:r>
            <w:r w:rsidRPr="002120F2">
              <w:t xml:space="preserve"> par mājas (istabas) dzīvnieka reģistrēšanu un samaksas kārtīb</w:t>
            </w:r>
            <w:r w:rsidR="00E01CAA">
              <w:t>a,</w:t>
            </w:r>
            <w:r w:rsidR="004969C6">
              <w:t xml:space="preserve"> un</w:t>
            </w:r>
            <w:r w:rsidR="00412D49">
              <w:t xml:space="preserve"> k</w:t>
            </w:r>
            <w:r w:rsidR="004969C6">
              <w:t>urš</w:t>
            </w:r>
            <w:r w:rsidR="00412D49">
              <w:t xml:space="preserve"> aizstās patlaban spēkā esošos noteikumus Nr. 491</w:t>
            </w:r>
            <w:r w:rsidRPr="002120F2">
              <w:t>.</w:t>
            </w:r>
          </w:p>
        </w:tc>
      </w:tr>
      <w:tr w:rsidR="00F7117E" w:rsidRPr="002120F2" w14:paraId="32257A12" w14:textId="77777777" w:rsidTr="0054184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AC934A" w14:textId="77777777" w:rsidR="00F7117E" w:rsidRPr="002120F2" w:rsidRDefault="00F7117E" w:rsidP="00FA340F">
            <w:pPr>
              <w:rPr>
                <w:rFonts w:ascii="Calibri" w:hAnsi="Calibri" w:cs="Calibri"/>
              </w:rPr>
            </w:pPr>
            <w:r w:rsidRPr="002120F2">
              <w:t>2.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B3DB9" w14:textId="77777777" w:rsidR="00F7117E" w:rsidRPr="002120F2" w:rsidRDefault="00F7117E" w:rsidP="00FA340F">
            <w:pPr>
              <w:jc w:val="both"/>
              <w:rPr>
                <w:rFonts w:ascii="Calibri" w:hAnsi="Calibri" w:cs="Calibri"/>
              </w:rPr>
            </w:pPr>
            <w:r w:rsidRPr="002120F2">
              <w:t>Atbildīgā institūcija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9BB2C2" w14:textId="77777777" w:rsidR="00F7117E" w:rsidRPr="002120F2" w:rsidRDefault="00F7117E" w:rsidP="00FA340F">
            <w:pPr>
              <w:jc w:val="both"/>
              <w:rPr>
                <w:rFonts w:ascii="Calibri" w:hAnsi="Calibri" w:cs="Calibri"/>
              </w:rPr>
            </w:pPr>
            <w:r w:rsidRPr="002120F2">
              <w:t>Zemkopības ministrija</w:t>
            </w:r>
          </w:p>
        </w:tc>
      </w:tr>
      <w:tr w:rsidR="00F7117E" w:rsidRPr="002120F2" w14:paraId="784173B6" w14:textId="77777777" w:rsidTr="00541840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8C3DA" w14:textId="77777777" w:rsidR="00F7117E" w:rsidRPr="002120F2" w:rsidRDefault="00F7117E" w:rsidP="00FA340F">
            <w:pPr>
              <w:rPr>
                <w:rFonts w:ascii="Calibri" w:hAnsi="Calibri" w:cs="Calibri"/>
              </w:rPr>
            </w:pPr>
            <w:r w:rsidRPr="002120F2">
              <w:t>3.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E6EB1" w14:textId="77777777" w:rsidR="00F7117E" w:rsidRPr="002120F2" w:rsidRDefault="00F7117E" w:rsidP="00FA340F">
            <w:pPr>
              <w:jc w:val="both"/>
              <w:rPr>
                <w:rFonts w:ascii="Calibri" w:hAnsi="Calibri" w:cs="Calibri"/>
              </w:rPr>
            </w:pPr>
            <w:r w:rsidRPr="002120F2">
              <w:t>Cita informācija</w:t>
            </w: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B956BE" w14:textId="77777777" w:rsidR="00F7117E" w:rsidRPr="002120F2" w:rsidRDefault="00F7117E" w:rsidP="00FA340F">
            <w:pPr>
              <w:rPr>
                <w:rFonts w:ascii="Calibri" w:hAnsi="Calibri" w:cs="Calibri"/>
              </w:rPr>
            </w:pPr>
            <w:r w:rsidRPr="002120F2">
              <w:t>Nav</w:t>
            </w:r>
          </w:p>
        </w:tc>
      </w:tr>
    </w:tbl>
    <w:p w14:paraId="5F71E4ED" w14:textId="1C706C90" w:rsidR="00393BEE" w:rsidRDefault="00393BEE" w:rsidP="00393BEE">
      <w:pPr>
        <w:pStyle w:val="Bezatstarpm"/>
        <w:rPr>
          <w:rFonts w:ascii="Times New Roman" w:hAnsi="Times New Roman" w:cs="Times New Roman"/>
          <w:spacing w:val="-2"/>
          <w:sz w:val="24"/>
          <w:szCs w:val="24"/>
          <w:lang w:eastAsia="lv-LV"/>
        </w:rPr>
      </w:pPr>
    </w:p>
    <w:p w14:paraId="20017F12" w14:textId="079F14C6" w:rsidR="00F7117E" w:rsidRDefault="00F7117E" w:rsidP="00393BEE">
      <w:pPr>
        <w:pStyle w:val="Bezatstarpm"/>
        <w:rPr>
          <w:rFonts w:ascii="Times New Roman" w:hAnsi="Times New Roman" w:cs="Times New Roman"/>
          <w:spacing w:val="-2"/>
          <w:sz w:val="24"/>
          <w:szCs w:val="24"/>
          <w:lang w:eastAsia="lv-LV"/>
        </w:rPr>
      </w:pPr>
    </w:p>
    <w:p w14:paraId="7CECA55A" w14:textId="77777777" w:rsidR="00B4280C" w:rsidRPr="00D32A71" w:rsidRDefault="00B4280C" w:rsidP="00393BEE">
      <w:pPr>
        <w:pStyle w:val="Bezatstarpm"/>
        <w:rPr>
          <w:rFonts w:ascii="Times New Roman" w:hAnsi="Times New Roman" w:cs="Times New Roman"/>
          <w:spacing w:val="-2"/>
          <w:sz w:val="24"/>
          <w:szCs w:val="24"/>
          <w:lang w:eastAsia="lv-LV"/>
        </w:rPr>
      </w:pPr>
    </w:p>
    <w:tbl>
      <w:tblPr>
        <w:tblStyle w:val="Reatabula"/>
        <w:tblW w:w="9355" w:type="dxa"/>
        <w:jc w:val="center"/>
        <w:tblLook w:val="04A0" w:firstRow="1" w:lastRow="0" w:firstColumn="1" w:lastColumn="0" w:noHBand="0" w:noVBand="1"/>
      </w:tblPr>
      <w:tblGrid>
        <w:gridCol w:w="9355"/>
      </w:tblGrid>
      <w:tr w:rsidR="00393BEE" w:rsidRPr="00D32A71" w14:paraId="4F052B2E" w14:textId="77777777" w:rsidTr="00541840">
        <w:trPr>
          <w:jc w:val="center"/>
        </w:trPr>
        <w:tc>
          <w:tcPr>
            <w:tcW w:w="9355" w:type="dxa"/>
          </w:tcPr>
          <w:p w14:paraId="2F684AAA" w14:textId="77777777" w:rsidR="00393BEE" w:rsidRPr="00D32A71" w:rsidRDefault="00393BEE" w:rsidP="00FA340F">
            <w:pPr>
              <w:pStyle w:val="Bezatstarpm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93BEE" w:rsidRPr="00D32A71" w14:paraId="53691833" w14:textId="77777777" w:rsidTr="00541840">
        <w:trPr>
          <w:jc w:val="center"/>
        </w:trPr>
        <w:tc>
          <w:tcPr>
            <w:tcW w:w="9355" w:type="dxa"/>
          </w:tcPr>
          <w:p w14:paraId="1456723C" w14:textId="01D7EDA6" w:rsidR="00393BEE" w:rsidRPr="00D32A71" w:rsidRDefault="00393BEE" w:rsidP="00FA340F">
            <w:pPr>
              <w:pStyle w:val="Bezatstarpm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</w:p>
        </w:tc>
      </w:tr>
    </w:tbl>
    <w:tbl>
      <w:tblPr>
        <w:tblW w:w="9356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665"/>
        <w:gridCol w:w="591"/>
        <w:gridCol w:w="1604"/>
        <w:gridCol w:w="2248"/>
        <w:gridCol w:w="1794"/>
      </w:tblGrid>
      <w:tr w:rsidR="00E81A9A" w:rsidRPr="007742D5" w14:paraId="576A23E9" w14:textId="77777777" w:rsidTr="00541840">
        <w:trPr>
          <w:trHeight w:val="850"/>
        </w:trPr>
        <w:tc>
          <w:tcPr>
            <w:tcW w:w="45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66610" w14:textId="77777777" w:rsidR="00E81A9A" w:rsidRPr="00F208C1" w:rsidRDefault="00E81A9A" w:rsidP="00FA340F">
            <w:pPr>
              <w:rPr>
                <w:rFonts w:ascii="Calibri" w:hAnsi="Calibri" w:cs="Calibri"/>
              </w:rPr>
            </w:pPr>
            <w:r w:rsidRPr="00F208C1">
              <w:t>1.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62498" w14:textId="77777777" w:rsidR="00E81A9A" w:rsidRPr="007912FE" w:rsidRDefault="00E81A9A" w:rsidP="00FA340F">
            <w:pPr>
              <w:jc w:val="both"/>
              <w:rPr>
                <w:rFonts w:ascii="Calibri" w:hAnsi="Calibri" w:cs="Calibri"/>
              </w:rPr>
            </w:pPr>
            <w:r w:rsidRPr="007912FE">
              <w:t>Saistības pret Eiropas Savienību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69837" w14:textId="3F00778F" w:rsidR="00E81A9A" w:rsidRPr="00F208C1" w:rsidRDefault="005D2E40" w:rsidP="005D2E40">
            <w:pPr>
              <w:jc w:val="both"/>
              <w:rPr>
                <w:rFonts w:ascii="Calibri" w:hAnsi="Calibri" w:cs="Calibri"/>
              </w:rPr>
            </w:pPr>
            <w:r w:rsidRPr="0023324B">
              <w:t>Komisijas 2013. gada 12</w:t>
            </w:r>
            <w:r w:rsidR="00E81A9A" w:rsidRPr="0023324B">
              <w:t>. jūnija</w:t>
            </w:r>
            <w:r w:rsidRPr="00A6221F">
              <w:t xml:space="preserve"> Īstenošanas regula (ES) Nr. 576</w:t>
            </w:r>
            <w:r w:rsidR="00E81A9A" w:rsidRPr="00F208C1">
              <w:t xml:space="preserve">/2013 </w:t>
            </w:r>
            <w:r w:rsidRPr="00F208C1">
              <w:t>par lolojumdzīvnieku nekomerciālu pārvietošanu un par Regulas (EK) Nr. 998/2003 atcelšanu</w:t>
            </w:r>
          </w:p>
        </w:tc>
      </w:tr>
      <w:tr w:rsidR="00E81A9A" w:rsidRPr="007742D5" w14:paraId="2B4FF8EA" w14:textId="77777777" w:rsidTr="00541840">
        <w:tc>
          <w:tcPr>
            <w:tcW w:w="45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088C0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t>2.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ADED4" w14:textId="77777777" w:rsidR="00E81A9A" w:rsidRPr="007912FE" w:rsidRDefault="00E81A9A" w:rsidP="00FA340F">
            <w:pPr>
              <w:jc w:val="both"/>
              <w:rPr>
                <w:rFonts w:ascii="Calibri" w:hAnsi="Calibri" w:cs="Calibri"/>
              </w:rPr>
            </w:pPr>
            <w:r w:rsidRPr="007912FE">
              <w:t>Citas starptautiskās saistības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343E2" w14:textId="1289262E" w:rsidR="00E81A9A" w:rsidRPr="0023324B" w:rsidRDefault="00E81A9A" w:rsidP="005E42A8">
            <w:pPr>
              <w:jc w:val="both"/>
              <w:rPr>
                <w:rFonts w:ascii="Calibri" w:hAnsi="Calibri" w:cs="Calibri"/>
              </w:rPr>
            </w:pPr>
            <w:r w:rsidRPr="0023324B">
              <w:t> </w:t>
            </w:r>
            <w:r w:rsidR="005E42A8">
              <w:t>Projekts šo jomu neskar.</w:t>
            </w:r>
          </w:p>
        </w:tc>
      </w:tr>
      <w:tr w:rsidR="00E81A9A" w:rsidRPr="007742D5" w14:paraId="049C21F9" w14:textId="77777777" w:rsidTr="00541840">
        <w:tc>
          <w:tcPr>
            <w:tcW w:w="454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CEB3F" w14:textId="77777777" w:rsidR="00E81A9A" w:rsidRPr="00F208C1" w:rsidRDefault="00E81A9A" w:rsidP="00FA340F">
            <w:pPr>
              <w:rPr>
                <w:rFonts w:ascii="Calibri" w:hAnsi="Calibri" w:cs="Calibri"/>
              </w:rPr>
            </w:pPr>
            <w:r w:rsidRPr="00F208C1">
              <w:t>3.</w:t>
            </w:r>
          </w:p>
        </w:tc>
        <w:tc>
          <w:tcPr>
            <w:tcW w:w="3256" w:type="dxa"/>
            <w:gridSpan w:val="2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9993E" w14:textId="77777777" w:rsidR="00E81A9A" w:rsidRPr="007912FE" w:rsidRDefault="00E81A9A" w:rsidP="00FA340F">
            <w:pPr>
              <w:jc w:val="both"/>
              <w:rPr>
                <w:rFonts w:ascii="Calibri" w:hAnsi="Calibri" w:cs="Calibri"/>
              </w:rPr>
            </w:pPr>
            <w:r w:rsidRPr="007912FE">
              <w:t>Cita informācija</w:t>
            </w:r>
          </w:p>
        </w:tc>
        <w:tc>
          <w:tcPr>
            <w:tcW w:w="5646" w:type="dxa"/>
            <w:gridSpan w:val="3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8B2B2" w14:textId="2ECB59B6" w:rsidR="00E81A9A" w:rsidRPr="0023324B" w:rsidRDefault="005E42A8" w:rsidP="00FA340F">
            <w:pPr>
              <w:jc w:val="both"/>
              <w:rPr>
                <w:rFonts w:ascii="Calibri" w:hAnsi="Calibri" w:cs="Calibri"/>
              </w:rPr>
            </w:pPr>
            <w:r>
              <w:t xml:space="preserve">Nav. </w:t>
            </w:r>
          </w:p>
        </w:tc>
      </w:tr>
      <w:tr w:rsidR="00E81A9A" w:rsidRPr="007742D5" w14:paraId="799D2EDB" w14:textId="77777777" w:rsidTr="00541840">
        <w:trPr>
          <w:trHeight w:val="523"/>
        </w:trPr>
        <w:tc>
          <w:tcPr>
            <w:tcW w:w="93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7856A2" w14:textId="77777777" w:rsidR="00B4280C" w:rsidRDefault="00B4280C" w:rsidP="00FA340F">
            <w:pPr>
              <w:jc w:val="center"/>
              <w:rPr>
                <w:b/>
                <w:bCs/>
              </w:rPr>
            </w:pPr>
          </w:p>
          <w:p w14:paraId="74CFEF9F" w14:textId="15FB22F2" w:rsidR="00E81A9A" w:rsidRPr="00F208C1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F208C1">
              <w:rPr>
                <w:b/>
                <w:bCs/>
              </w:rPr>
              <w:t>1.tabula</w:t>
            </w:r>
          </w:p>
          <w:p w14:paraId="6828A05E" w14:textId="77777777" w:rsidR="00E81A9A" w:rsidRPr="007912FE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7912FE">
              <w:rPr>
                <w:b/>
                <w:bCs/>
              </w:rPr>
              <w:t>Tiesību akta projekta atbilstība ES tiesību aktiem</w:t>
            </w:r>
          </w:p>
        </w:tc>
      </w:tr>
      <w:tr w:rsidR="00E81A9A" w:rsidRPr="007742D5" w14:paraId="431A06D3" w14:textId="77777777" w:rsidTr="00541840">
        <w:trPr>
          <w:trHeight w:val="90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B794D" w14:textId="77777777" w:rsidR="00E81A9A" w:rsidRPr="00F208C1" w:rsidRDefault="00E81A9A" w:rsidP="00FA340F">
            <w:pPr>
              <w:ind w:hanging="10"/>
              <w:jc w:val="center"/>
              <w:rPr>
                <w:rFonts w:ascii="Calibri" w:hAnsi="Calibri" w:cs="Calibri"/>
              </w:rPr>
            </w:pPr>
            <w:r w:rsidRPr="00F208C1">
              <w:t>Attiecīgā ES tiesību akta datums, numurs un nosaukums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094EA0" w14:textId="21A63A33" w:rsidR="00E81A9A" w:rsidRPr="007912FE" w:rsidRDefault="00E81A9A" w:rsidP="00FA340F">
            <w:pPr>
              <w:rPr>
                <w:rFonts w:ascii="Calibri" w:hAnsi="Calibri" w:cs="Calibri"/>
              </w:rPr>
            </w:pPr>
            <w:r w:rsidRPr="007912FE">
              <w:t> </w:t>
            </w:r>
            <w:r w:rsidR="005E42A8" w:rsidRPr="0023324B">
              <w:t>Komisijas 2013. gada 12. jūnija</w:t>
            </w:r>
            <w:r w:rsidR="005E42A8" w:rsidRPr="00A6221F">
              <w:t xml:space="preserve"> Īstenošanas regula (ES) Nr. 576</w:t>
            </w:r>
            <w:r w:rsidR="005E42A8" w:rsidRPr="00F208C1">
              <w:t>/2013 par lolojumdzīvnieku nekomerciālu pārvietošanu un par Regulas (EK) Nr. 998/2003 atcelšanu</w:t>
            </w:r>
            <w:r w:rsidR="005E42A8">
              <w:t>.</w:t>
            </w:r>
          </w:p>
        </w:tc>
      </w:tr>
      <w:tr w:rsidR="00E81A9A" w:rsidRPr="007742D5" w14:paraId="4CF27F6C" w14:textId="77777777" w:rsidTr="00541840">
        <w:trPr>
          <w:trHeight w:val="16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84970E" w14:textId="77777777" w:rsidR="00E81A9A" w:rsidRPr="00F208C1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F208C1">
              <w:t>A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A3DC15" w14:textId="77777777" w:rsidR="00E81A9A" w:rsidRPr="007912FE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7912FE">
              <w:t>B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3F1654" w14:textId="77777777" w:rsidR="00E81A9A" w:rsidRPr="0023324B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23324B">
              <w:t>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48625E" w14:textId="77777777" w:rsidR="00E81A9A" w:rsidRPr="00F208C1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F208C1">
              <w:t>D</w:t>
            </w:r>
          </w:p>
        </w:tc>
      </w:tr>
      <w:tr w:rsidR="00E81A9A" w:rsidRPr="007742D5" w14:paraId="0B6F9117" w14:textId="77777777" w:rsidTr="00541840">
        <w:trPr>
          <w:trHeight w:val="165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0F32D2" w14:textId="77777777" w:rsidR="00E81A9A" w:rsidRPr="007912FE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rPr>
                <w:spacing w:val="-4"/>
              </w:rPr>
              <w:lastRenderedPageBreak/>
              <w:t xml:space="preserve">Attiecīgā ES tiesību akta panta numurs (uzskaitot katru tiesību akta vienību – pantu, daļu, </w:t>
            </w:r>
            <w:r w:rsidRPr="007912FE">
              <w:rPr>
                <w:spacing w:val="-4"/>
              </w:rPr>
              <w:t>punktu, apakšpunktu)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1D5AEF" w14:textId="77777777" w:rsidR="00E81A9A" w:rsidRPr="0023324B" w:rsidRDefault="00E81A9A" w:rsidP="00FA340F">
            <w:pPr>
              <w:jc w:val="both"/>
              <w:rPr>
                <w:rFonts w:ascii="Calibri" w:hAnsi="Calibri" w:cs="Calibri"/>
              </w:rPr>
            </w:pPr>
            <w:r w:rsidRPr="0023324B">
              <w:rPr>
                <w:spacing w:val="-4"/>
              </w:rPr>
              <w:t>Projekta vienība, kas pārņem vai ievieš katru šīs tabulas A ailē minēto ES tiesību akta vienību, vai tiesību akts, kur attiecīgā ES tiesību akta vienība pārņemta vai ieviesta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3668F4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rPr>
                <w:spacing w:val="-4"/>
              </w:rPr>
              <w:t>Informācija par to, vai šīs tabulas A ailē minētās ES tiesību akta vienības tiek pārņemtas vai ieviestas pilnībā vai daļēji.</w:t>
            </w:r>
          </w:p>
          <w:p w14:paraId="5765224B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rPr>
                <w:spacing w:val="-4"/>
              </w:rPr>
              <w:t>Ja attiecīgā ES tiesību akta vienība tiek pārņemta vai ieviesta daļēji,  sniedz attiecīgu skaidrojumu, kā arī precīzi norāda, kad un kādā veidā ES tiesību akta vienība tiks pārņemta vai ieviesta pilnībā.</w:t>
            </w:r>
          </w:p>
          <w:p w14:paraId="5DE1864A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rPr>
                <w:spacing w:val="-4"/>
              </w:rPr>
              <w:t>Norāda institūciju, kas ir atbildīga par šo saistību izpildi pilnībā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E9A611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rPr>
                <w:spacing w:val="-4"/>
              </w:rPr>
              <w:t>Informācija par to, vai šīs tabulas B ailē minētās projekta vienības paredz stingrākas prasības nekā šīs tabulas A ailē minētās ES tiesību akta vienības.</w:t>
            </w:r>
          </w:p>
          <w:p w14:paraId="3194A435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rPr>
                <w:spacing w:val="-4"/>
              </w:rPr>
              <w:t>Ja projekts satur stingrākas prasības nekā attiecīgais ES tiesību akts, norāda pamatojumu un samērīgumu.</w:t>
            </w:r>
          </w:p>
          <w:p w14:paraId="2E6C4A6A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rPr>
                <w:spacing w:val="-4"/>
              </w:rPr>
              <w:t>Norāda iespējamās alternatīvas (t.sk. alternatīvas, kas neparedz tiesiskā regulējuma izstrādi) – kādos gadījumos būtu iespējams izvairīties no stingrāku prasību noteikšanas, nekā paredzēts attiecīgajos ES tiesību aktos</w:t>
            </w:r>
          </w:p>
        </w:tc>
      </w:tr>
      <w:tr w:rsidR="00E81A9A" w:rsidRPr="007742D5" w14:paraId="16C4A6F6" w14:textId="77777777" w:rsidTr="00541840">
        <w:trPr>
          <w:trHeight w:val="191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1DC4E5" w14:textId="704CEC35" w:rsidR="00E81A9A" w:rsidRPr="007912FE" w:rsidRDefault="00902998" w:rsidP="00FA340F">
            <w:pPr>
              <w:jc w:val="both"/>
              <w:rPr>
                <w:rFonts w:ascii="Calibri" w:hAnsi="Calibri" w:cs="Calibri"/>
              </w:rPr>
            </w:pPr>
            <w:r w:rsidRPr="00F208C1">
              <w:t>Regulas Nr. 576/2013 42.</w:t>
            </w:r>
            <w:r w:rsidR="004969C6">
              <w:t> </w:t>
            </w:r>
            <w:r w:rsidRPr="00F208C1">
              <w:t>pants</w:t>
            </w: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175F1B" w14:textId="3CD5C755" w:rsidR="00E81A9A" w:rsidRPr="00C84A59" w:rsidRDefault="00522BAB" w:rsidP="00FA340F">
            <w:pPr>
              <w:rPr>
                <w:rFonts w:ascii="Calibri" w:hAnsi="Calibri" w:cs="Calibri"/>
              </w:rPr>
            </w:pPr>
            <w:r w:rsidRPr="0023324B">
              <w:t xml:space="preserve">Likumprojekta </w:t>
            </w:r>
            <w:r w:rsidR="001B5C16">
              <w:t>4</w:t>
            </w:r>
            <w:r w:rsidR="00E81A9A" w:rsidRPr="00F208C1">
              <w:t>.</w:t>
            </w:r>
            <w:r w:rsidR="004969C6">
              <w:t> </w:t>
            </w:r>
            <w:r w:rsidR="002553AD">
              <w:t>pants</w:t>
            </w:r>
            <w:r w:rsidR="00C84A59">
              <w:t xml:space="preserve"> (Veterinārmedicīnas likuma 64.</w:t>
            </w:r>
            <w:r w:rsidR="00C84A59">
              <w:rPr>
                <w:vertAlign w:val="superscript"/>
              </w:rPr>
              <w:t>2</w:t>
            </w:r>
            <w:r w:rsidR="00C84A59">
              <w:t xml:space="preserve"> pants)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A86773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t>Tiesību norma tiek pārņemta pilnībā.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957C0C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t>Tiesību norma neparedz stingrākas prasības.</w:t>
            </w:r>
          </w:p>
        </w:tc>
      </w:tr>
      <w:tr w:rsidR="00E81A9A" w:rsidRPr="007742D5" w14:paraId="488E902E" w14:textId="77777777" w:rsidTr="00541840">
        <w:trPr>
          <w:trHeight w:val="281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45F39A" w14:textId="77777777" w:rsidR="00E81A9A" w:rsidRPr="007912FE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t xml:space="preserve">Kā ir izmantota ES tiesību aktā paredzētā rīcības brīvība </w:t>
            </w:r>
            <w:r w:rsidRPr="007912FE">
              <w:t>dalībvalstij pārņemt vai ieviest noteiktas ES tiesību akta normas. Kādēļ?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9F1251" w14:textId="77777777" w:rsidR="00E81A9A" w:rsidRPr="0023324B" w:rsidRDefault="00E81A9A" w:rsidP="00FA340F">
            <w:pPr>
              <w:rPr>
                <w:rFonts w:ascii="Calibri" w:hAnsi="Calibri" w:cs="Calibri"/>
              </w:rPr>
            </w:pPr>
            <w:r w:rsidRPr="0023324B">
              <w:t>Likumprojekts šo jomu neskar.</w:t>
            </w:r>
          </w:p>
        </w:tc>
      </w:tr>
      <w:tr w:rsidR="00E81A9A" w:rsidRPr="007742D5" w14:paraId="5028480F" w14:textId="77777777" w:rsidTr="00541840">
        <w:trPr>
          <w:trHeight w:val="246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E1DFD" w14:textId="77777777" w:rsidR="00E81A9A" w:rsidRPr="007912FE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t>Saistības sniegt paziņojumu ES institūcijām un ES dalībvalstīm atbilstoši normatīvajiem aktiem, kas regulē informācijas sniegšanu par tehnisko noteikumu, valsts atbalsta piešķiršanas un finanšu noteikumu (attiecībā uz monetāro politiku) projektiem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112E42" w14:textId="77777777" w:rsidR="00E81A9A" w:rsidRPr="0023324B" w:rsidRDefault="00E81A9A" w:rsidP="00FA340F">
            <w:pPr>
              <w:rPr>
                <w:rFonts w:ascii="Calibri" w:hAnsi="Calibri" w:cs="Calibri"/>
              </w:rPr>
            </w:pPr>
            <w:r w:rsidRPr="0023324B">
              <w:t>Likumprojekts šo jomu neskar.</w:t>
            </w:r>
          </w:p>
        </w:tc>
      </w:tr>
      <w:tr w:rsidR="00E81A9A" w:rsidRPr="007742D5" w14:paraId="3C9ED044" w14:textId="77777777" w:rsidTr="00541840">
        <w:trPr>
          <w:trHeight w:val="47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613620" w14:textId="77777777" w:rsidR="00E81A9A" w:rsidRPr="00F208C1" w:rsidRDefault="00E81A9A" w:rsidP="00FA340F">
            <w:pPr>
              <w:jc w:val="both"/>
              <w:rPr>
                <w:rFonts w:ascii="Calibri" w:hAnsi="Calibri" w:cs="Calibri"/>
              </w:rPr>
            </w:pPr>
            <w:r w:rsidRPr="00F208C1">
              <w:t>Cita informācija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6638D4" w14:textId="57A9AF60" w:rsidR="00E81A9A" w:rsidRPr="007912FE" w:rsidRDefault="00E81A9A" w:rsidP="00FA340F">
            <w:pPr>
              <w:rPr>
                <w:rFonts w:ascii="Calibri" w:hAnsi="Calibri" w:cs="Calibri"/>
              </w:rPr>
            </w:pPr>
            <w:r w:rsidRPr="007912FE">
              <w:t> </w:t>
            </w:r>
            <w:r w:rsidR="00C84A59">
              <w:t>Nav.</w:t>
            </w:r>
          </w:p>
        </w:tc>
      </w:tr>
      <w:tr w:rsidR="00E81A9A" w:rsidRPr="007742D5" w14:paraId="67A20821" w14:textId="77777777" w:rsidTr="00541840">
        <w:trPr>
          <w:trHeight w:val="1168"/>
        </w:trPr>
        <w:tc>
          <w:tcPr>
            <w:tcW w:w="93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A8A3D6" w14:textId="77777777" w:rsidR="00E81A9A" w:rsidRPr="007912FE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F208C1">
              <w:rPr>
                <w:b/>
                <w:bCs/>
              </w:rPr>
              <w:lastRenderedPageBreak/>
              <w:t>2.tabula</w:t>
            </w:r>
            <w:r w:rsidRPr="00F208C1">
              <w:rPr>
                <w:b/>
                <w:bCs/>
              </w:rPr>
              <w:br/>
              <w:t>Ar tiesību akta projektu izpildītās vai uzņemtās saistības, kas izriet no starptautiskajiem tiesību aktiem vai starptautiskas institūcijas vai organizācijas dokumentiem.</w:t>
            </w:r>
            <w:r w:rsidRPr="00F208C1">
              <w:rPr>
                <w:b/>
                <w:bCs/>
              </w:rPr>
              <w:br/>
              <w:t>Pasākumi šo saistību izpildei</w:t>
            </w:r>
          </w:p>
        </w:tc>
      </w:tr>
      <w:tr w:rsidR="00E81A9A" w:rsidRPr="007742D5" w14:paraId="0EBCB176" w14:textId="77777777" w:rsidTr="00541840">
        <w:trPr>
          <w:trHeight w:val="254"/>
        </w:trPr>
        <w:tc>
          <w:tcPr>
            <w:tcW w:w="93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1ECD74" w14:textId="77777777" w:rsidR="00E81A9A" w:rsidRPr="004969C6" w:rsidRDefault="00E81A9A" w:rsidP="00FA340F">
            <w:pPr>
              <w:jc w:val="center"/>
              <w:rPr>
                <w:rFonts w:ascii="Calibri" w:hAnsi="Calibri" w:cs="Calibri"/>
              </w:rPr>
            </w:pPr>
            <w:r w:rsidRPr="00EC11E4">
              <w:rPr>
                <w:iCs/>
              </w:rPr>
              <w:t>Projekts šo jomu neskar.</w:t>
            </w:r>
          </w:p>
        </w:tc>
      </w:tr>
    </w:tbl>
    <w:p w14:paraId="6F340BD8" w14:textId="77777777" w:rsidR="00E81A9A" w:rsidRPr="00D32A71" w:rsidRDefault="00E81A9A" w:rsidP="00393BEE">
      <w:pPr>
        <w:pStyle w:val="Bezatstarpm"/>
        <w:rPr>
          <w:rFonts w:ascii="Times New Roman" w:hAnsi="Times New Roman" w:cs="Times New Roman"/>
          <w:spacing w:val="-2"/>
          <w:sz w:val="24"/>
          <w:szCs w:val="24"/>
          <w:lang w:eastAsia="lv-LV"/>
        </w:rPr>
      </w:pPr>
    </w:p>
    <w:tbl>
      <w:tblPr>
        <w:tblStyle w:val="Reatabula"/>
        <w:tblW w:w="9351" w:type="dxa"/>
        <w:jc w:val="center"/>
        <w:tblLook w:val="04A0" w:firstRow="1" w:lastRow="0" w:firstColumn="1" w:lastColumn="0" w:noHBand="0" w:noVBand="1"/>
      </w:tblPr>
      <w:tblGrid>
        <w:gridCol w:w="562"/>
        <w:gridCol w:w="3119"/>
        <w:gridCol w:w="5670"/>
      </w:tblGrid>
      <w:tr w:rsidR="00393BEE" w:rsidRPr="00D32A71" w14:paraId="50029BA8" w14:textId="77777777" w:rsidTr="00BE5C57">
        <w:trPr>
          <w:jc w:val="center"/>
        </w:trPr>
        <w:tc>
          <w:tcPr>
            <w:tcW w:w="9351" w:type="dxa"/>
            <w:gridSpan w:val="3"/>
          </w:tcPr>
          <w:p w14:paraId="7A70AF50" w14:textId="77777777" w:rsidR="00393BEE" w:rsidRPr="00D32A71" w:rsidRDefault="00393BEE" w:rsidP="00FA340F">
            <w:pPr>
              <w:pStyle w:val="Bezatstarpm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702368" w:rsidRPr="00D32A71" w14:paraId="68FB808D" w14:textId="77777777" w:rsidTr="00BE5C57">
        <w:trPr>
          <w:jc w:val="center"/>
        </w:trPr>
        <w:tc>
          <w:tcPr>
            <w:tcW w:w="562" w:type="dxa"/>
          </w:tcPr>
          <w:p w14:paraId="0F1A55B9" w14:textId="77777777" w:rsidR="00702368" w:rsidRPr="00D32A71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19" w:type="dxa"/>
          </w:tcPr>
          <w:p w14:paraId="00575DF2" w14:textId="77777777" w:rsidR="00702368" w:rsidRPr="00D32A71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5670" w:type="dxa"/>
          </w:tcPr>
          <w:p w14:paraId="32BBC82F" w14:textId="760F873A" w:rsidR="00702368" w:rsidRPr="00702368" w:rsidRDefault="008E0C17" w:rsidP="00702368">
            <w:pPr>
              <w:pStyle w:val="Bezatstarpm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Sabiedrības līdzdalība nodrošināta saskaņā ar </w:t>
            </w:r>
            <w:r w:rsidR="00702368" w:rsidRPr="0070236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Ministru kabineta 2009. gada 25. augusta noteikumiem Nr. 970 </w:t>
            </w:r>
            <w:r w:rsidR="006A441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702368" w:rsidRPr="0070236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Sabiedrības līdzdalības kārtība attīstības plānošanas procesā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702368" w:rsidRPr="0070236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sagatavojot un publicējot paziņojumu par līdzdalības procesu.</w:t>
            </w:r>
          </w:p>
        </w:tc>
      </w:tr>
      <w:tr w:rsidR="00702368" w:rsidRPr="00D32A71" w14:paraId="4135D6C9" w14:textId="77777777" w:rsidTr="00BE5C57">
        <w:trPr>
          <w:jc w:val="center"/>
        </w:trPr>
        <w:tc>
          <w:tcPr>
            <w:tcW w:w="562" w:type="dxa"/>
          </w:tcPr>
          <w:p w14:paraId="137F8268" w14:textId="77777777" w:rsidR="00702368" w:rsidRPr="005B562F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5B562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19" w:type="dxa"/>
          </w:tcPr>
          <w:p w14:paraId="1DBA99D0" w14:textId="77777777" w:rsidR="00702368" w:rsidRPr="005B562F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5B562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5670" w:type="dxa"/>
          </w:tcPr>
          <w:p w14:paraId="6027CF5D" w14:textId="1B9106DF" w:rsidR="00702368" w:rsidRDefault="006A441A" w:rsidP="00702368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BE5C57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Likumprojekts nosūtīts saskaņošanai Latvijas Pašvaldību savienībai</w:t>
            </w:r>
            <w:r w:rsidR="008E0C17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un Latvijas Veterinārārstu biedrībai</w:t>
            </w:r>
            <w:r w:rsidRPr="00BE5C57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.</w:t>
            </w:r>
          </w:p>
          <w:p w14:paraId="1AAB85B9" w14:textId="7B2EDEC8" w:rsidR="00082B67" w:rsidRPr="00895C22" w:rsidRDefault="00190370" w:rsidP="005C0B33">
            <w:pPr>
              <w:jc w:val="both"/>
            </w:pPr>
            <w:r>
              <w:rPr>
                <w:color w:val="000000" w:themeColor="text1"/>
              </w:rPr>
              <w:t>Likum</w:t>
            </w:r>
            <w:r w:rsidR="00895C22" w:rsidRPr="00895C22">
              <w:rPr>
                <w:color w:val="000000" w:themeColor="text1"/>
              </w:rPr>
              <w:t>projekts publicēts Zemkopības ministrijas tīmekļvietn</w:t>
            </w:r>
            <w:r w:rsidR="008E0C17">
              <w:rPr>
                <w:color w:val="000000" w:themeColor="text1"/>
              </w:rPr>
              <w:t>ē</w:t>
            </w:r>
            <w:r w:rsidR="00895C22" w:rsidRPr="00895C22">
              <w:rPr>
                <w:color w:val="000000" w:themeColor="text1"/>
              </w:rPr>
              <w:t xml:space="preserve"> www.zm.gov.lv </w:t>
            </w:r>
            <w:hyperlink r:id="rId9" w:tgtFrame="_blank" w:history="1">
              <w:r w:rsidR="00895C22" w:rsidRPr="00895C22">
                <w:rPr>
                  <w:color w:val="000000" w:themeColor="text1"/>
                  <w:u w:val="single"/>
                </w:rPr>
                <w:t>https://www.zm.gov.lv/zemkopibas-ministrija/apspriesanas/likumprojekts-grozijumi-veterinarmedicinas-likuma-?id=950</w:t>
              </w:r>
            </w:hyperlink>
            <w:r w:rsidR="008E0C17" w:rsidRPr="00895C22">
              <w:rPr>
                <w:color w:val="000000" w:themeColor="text1"/>
              </w:rPr>
              <w:t xml:space="preserve"> </w:t>
            </w:r>
            <w:r w:rsidR="008E0C17">
              <w:rPr>
                <w:color w:val="000000" w:themeColor="text1"/>
              </w:rPr>
              <w:t xml:space="preserve">un </w:t>
            </w:r>
            <w:r w:rsidR="008E0C17" w:rsidRPr="009B2FE1">
              <w:t xml:space="preserve">Ministru kabineta tīmekļvietnes sadaļā “Sabiedrības līdzdalība” </w:t>
            </w:r>
            <w:r w:rsidR="008E0C17" w:rsidRPr="00895C22">
              <w:rPr>
                <w:color w:val="000000" w:themeColor="text1"/>
              </w:rPr>
              <w:t>no 2020. gada 6. līdz 20. augustam</w:t>
            </w:r>
            <w:r w:rsidR="008E0C17">
              <w:rPr>
                <w:color w:val="000000" w:themeColor="text1"/>
              </w:rPr>
              <w:t>.</w:t>
            </w:r>
          </w:p>
        </w:tc>
      </w:tr>
      <w:tr w:rsidR="00702368" w:rsidRPr="00D32A71" w14:paraId="4D2F819E" w14:textId="77777777" w:rsidTr="00BE5C57">
        <w:trPr>
          <w:jc w:val="center"/>
        </w:trPr>
        <w:tc>
          <w:tcPr>
            <w:tcW w:w="562" w:type="dxa"/>
          </w:tcPr>
          <w:p w14:paraId="497DA8EC" w14:textId="77777777" w:rsidR="00702368" w:rsidRPr="005B562F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5B562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19" w:type="dxa"/>
          </w:tcPr>
          <w:p w14:paraId="74C63FA5" w14:textId="77777777" w:rsidR="00702368" w:rsidRPr="005B562F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</w:pPr>
            <w:r w:rsidRPr="005B562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5670" w:type="dxa"/>
          </w:tcPr>
          <w:p w14:paraId="556923AE" w14:textId="1872CFE9" w:rsidR="00215FB5" w:rsidRDefault="00215FB5" w:rsidP="00702368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Likumprojekts saskaņots ar Latvijas Veterinārārstu biedrību un Latvijas Pašvaldību savienību.</w:t>
            </w:r>
          </w:p>
          <w:p w14:paraId="1E5F6843" w14:textId="54F5A433" w:rsidR="00702368" w:rsidRPr="00AB13E9" w:rsidRDefault="00830BB9" w:rsidP="00702368">
            <w:pPr>
              <w:pStyle w:val="Bezatstarpm"/>
              <w:jc w:val="both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Par </w:t>
            </w:r>
            <w:r w:rsidR="008E0C17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Zemkopības ministrijas </w:t>
            </w: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tīmekļvietnē </w:t>
            </w:r>
            <w:r w:rsidR="008E0C17" w:rsidRPr="008E0C17">
              <w:rPr>
                <w:rFonts w:ascii="Times New Roman" w:hAnsi="Times New Roman" w:cs="Times New Roman"/>
                <w:sz w:val="24"/>
                <w:szCs w:val="24"/>
              </w:rPr>
              <w:t>publicēto</w:t>
            </w:r>
            <w:r w:rsidRPr="008E0C17">
              <w:rPr>
                <w:rFonts w:ascii="Times New Roman" w:hAnsi="Times New Roman" w:cs="Times New Roman"/>
                <w:spacing w:val="-2"/>
                <w:sz w:val="28"/>
                <w:szCs w:val="28"/>
                <w:lang w:eastAsia="lv-LV"/>
              </w:rPr>
              <w:t xml:space="preserve"> </w:t>
            </w: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likumprojektu iebildumi un priekšlikumi </w:t>
            </w:r>
            <w:r w:rsidR="008E0C17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nav</w:t>
            </w: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 xml:space="preserve"> saņemti.</w:t>
            </w:r>
          </w:p>
        </w:tc>
      </w:tr>
      <w:tr w:rsidR="00702368" w:rsidRPr="00D32A71" w14:paraId="0A6888AB" w14:textId="77777777" w:rsidTr="00BE5C57">
        <w:trPr>
          <w:jc w:val="center"/>
        </w:trPr>
        <w:tc>
          <w:tcPr>
            <w:tcW w:w="562" w:type="dxa"/>
          </w:tcPr>
          <w:p w14:paraId="328C7BD7" w14:textId="77777777" w:rsidR="00702368" w:rsidRPr="00D32A71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119" w:type="dxa"/>
          </w:tcPr>
          <w:p w14:paraId="5277C118" w14:textId="77777777" w:rsidR="00702368" w:rsidRPr="00D32A71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670" w:type="dxa"/>
          </w:tcPr>
          <w:p w14:paraId="57379553" w14:textId="77777777" w:rsidR="00702368" w:rsidRPr="00D32A71" w:rsidRDefault="00702368" w:rsidP="00702368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Nav.</w:t>
            </w:r>
          </w:p>
        </w:tc>
      </w:tr>
    </w:tbl>
    <w:p w14:paraId="674FB0BB" w14:textId="4AF35943" w:rsidR="00393BEE" w:rsidRDefault="00393BEE" w:rsidP="00393BEE">
      <w:pPr>
        <w:pStyle w:val="Bezatstarpm"/>
        <w:rPr>
          <w:rFonts w:ascii="Times New Roman" w:hAnsi="Times New Roman" w:cs="Times New Roman"/>
          <w:spacing w:val="-2"/>
          <w:sz w:val="24"/>
          <w:szCs w:val="24"/>
          <w:lang w:eastAsia="lv-LV"/>
        </w:rPr>
      </w:pPr>
      <w:r w:rsidRPr="00D32A71">
        <w:rPr>
          <w:rFonts w:ascii="Times New Roman" w:hAnsi="Times New Roman" w:cs="Times New Roman"/>
          <w:spacing w:val="-2"/>
          <w:sz w:val="24"/>
          <w:szCs w:val="24"/>
          <w:lang w:eastAsia="lv-LV"/>
        </w:rPr>
        <w:t xml:space="preserve"> </w:t>
      </w:r>
    </w:p>
    <w:p w14:paraId="74B43D39" w14:textId="77777777" w:rsidR="00B4280C" w:rsidRPr="00D32A71" w:rsidRDefault="00B4280C" w:rsidP="00393BEE">
      <w:pPr>
        <w:pStyle w:val="Bezatstarpm"/>
        <w:rPr>
          <w:rFonts w:ascii="Times New Roman" w:hAnsi="Times New Roman" w:cs="Times New Roman"/>
          <w:b/>
          <w:spacing w:val="-2"/>
          <w:sz w:val="24"/>
          <w:szCs w:val="24"/>
          <w:lang w:eastAsia="lv-LV"/>
        </w:rPr>
      </w:pPr>
    </w:p>
    <w:tbl>
      <w:tblPr>
        <w:tblStyle w:val="Reatabula"/>
        <w:tblW w:w="9497" w:type="dxa"/>
        <w:jc w:val="center"/>
        <w:tblLook w:val="04A0" w:firstRow="1" w:lastRow="0" w:firstColumn="1" w:lastColumn="0" w:noHBand="0" w:noVBand="1"/>
      </w:tblPr>
      <w:tblGrid>
        <w:gridCol w:w="425"/>
        <w:gridCol w:w="3969"/>
        <w:gridCol w:w="5103"/>
      </w:tblGrid>
      <w:tr w:rsidR="00393BEE" w:rsidRPr="00D32A71" w14:paraId="4F33D2DB" w14:textId="77777777" w:rsidTr="00BE5C57">
        <w:trPr>
          <w:jc w:val="center"/>
        </w:trPr>
        <w:tc>
          <w:tcPr>
            <w:tcW w:w="9497" w:type="dxa"/>
            <w:gridSpan w:val="3"/>
          </w:tcPr>
          <w:p w14:paraId="773BE101" w14:textId="77777777" w:rsidR="00393BEE" w:rsidRPr="00D32A71" w:rsidRDefault="00393BEE" w:rsidP="00FA340F">
            <w:pPr>
              <w:pStyle w:val="Bezatstarpm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93BEE" w:rsidRPr="00D32A71" w14:paraId="36C4D3CB" w14:textId="77777777" w:rsidTr="00BE5C57">
        <w:trPr>
          <w:jc w:val="center"/>
        </w:trPr>
        <w:tc>
          <w:tcPr>
            <w:tcW w:w="425" w:type="dxa"/>
          </w:tcPr>
          <w:p w14:paraId="122D0031" w14:textId="77777777" w:rsidR="00393BEE" w:rsidRPr="00D32A71" w:rsidRDefault="00393BEE" w:rsidP="00FA340F">
            <w:pPr>
              <w:pStyle w:val="Bezatstarpm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969" w:type="dxa"/>
          </w:tcPr>
          <w:p w14:paraId="636D091A" w14:textId="77777777" w:rsidR="00393BEE" w:rsidRPr="00D32A71" w:rsidRDefault="00393BEE" w:rsidP="00FA340F">
            <w:pPr>
              <w:pStyle w:val="Bezatstarpm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5103" w:type="dxa"/>
          </w:tcPr>
          <w:p w14:paraId="69031837" w14:textId="50258D79" w:rsidR="00393BEE" w:rsidRPr="005D16B0" w:rsidRDefault="006C2798" w:rsidP="00C63079">
            <w:pPr>
              <w:jc w:val="both"/>
              <w:rPr>
                <w:spacing w:val="-2"/>
              </w:rPr>
            </w:pPr>
            <w:r w:rsidRPr="005D16B0">
              <w:rPr>
                <w:spacing w:val="-2"/>
              </w:rPr>
              <w:t>Pārti</w:t>
            </w:r>
            <w:r w:rsidR="00AB13E9" w:rsidRPr="005D16B0">
              <w:rPr>
                <w:spacing w:val="-2"/>
              </w:rPr>
              <w:t xml:space="preserve">kas un veterinārais dienests, </w:t>
            </w:r>
            <w:r w:rsidR="00AB13E9" w:rsidRPr="005D16B0">
              <w:t>pašvaldīb</w:t>
            </w:r>
            <w:r w:rsidR="002F1427" w:rsidRPr="005D16B0">
              <w:t>as</w:t>
            </w:r>
            <w:r w:rsidR="00C63079" w:rsidRPr="005D16B0">
              <w:t xml:space="preserve"> </w:t>
            </w:r>
            <w:r w:rsidR="002F1427" w:rsidRPr="005D16B0">
              <w:t>policija, administratīvā inspekcija, administratīvā komisija un apakškomisija</w:t>
            </w:r>
          </w:p>
        </w:tc>
      </w:tr>
      <w:tr w:rsidR="00393BEE" w:rsidRPr="00D32A71" w14:paraId="2A166C76" w14:textId="77777777" w:rsidTr="00BE5C57">
        <w:trPr>
          <w:jc w:val="center"/>
        </w:trPr>
        <w:tc>
          <w:tcPr>
            <w:tcW w:w="425" w:type="dxa"/>
          </w:tcPr>
          <w:p w14:paraId="37FDD61C" w14:textId="77777777" w:rsidR="00393BEE" w:rsidRPr="00D32A71" w:rsidRDefault="00393BEE" w:rsidP="00FA340F">
            <w:pPr>
              <w:pStyle w:val="Bezatstarpm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969" w:type="dxa"/>
          </w:tcPr>
          <w:p w14:paraId="200BAEF7" w14:textId="77777777" w:rsidR="00393BEE" w:rsidRPr="00D32A71" w:rsidRDefault="00393BEE" w:rsidP="00FA340F">
            <w:pPr>
              <w:pStyle w:val="Bezatstarpm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5103" w:type="dxa"/>
          </w:tcPr>
          <w:p w14:paraId="7B43F572" w14:textId="77777777" w:rsidR="00ED4B6E" w:rsidRPr="005D16B0" w:rsidRDefault="00ED4B6E" w:rsidP="00ED4B6E">
            <w:pPr>
              <w:jc w:val="both"/>
              <w:rPr>
                <w:spacing w:val="-2"/>
              </w:rPr>
            </w:pPr>
            <w:r w:rsidRPr="005D16B0">
              <w:rPr>
                <w:spacing w:val="-2"/>
              </w:rPr>
              <w:t>Nav ietekmes uz pārvaldes funkcijām un institucionālo struktūru.</w:t>
            </w:r>
          </w:p>
          <w:p w14:paraId="792C0DB2" w14:textId="77777777" w:rsidR="00393BEE" w:rsidRPr="005D16B0" w:rsidRDefault="00ED4B6E" w:rsidP="00ED4B6E">
            <w:pPr>
              <w:jc w:val="both"/>
              <w:rPr>
                <w:spacing w:val="-2"/>
              </w:rPr>
            </w:pPr>
            <w:r w:rsidRPr="005D16B0">
              <w:rPr>
                <w:spacing w:val="-2"/>
              </w:rPr>
              <w:t>Nav paredzēta jaunu institūciju izveide, esošu institūciju likvidācija vai reorganizācija, ne arī to ietekme uz institūcijas cilvēkresursiem.</w:t>
            </w:r>
          </w:p>
        </w:tc>
      </w:tr>
      <w:tr w:rsidR="00393BEE" w:rsidRPr="00D32A71" w14:paraId="44F0239D" w14:textId="77777777" w:rsidTr="00BE5C57">
        <w:trPr>
          <w:jc w:val="center"/>
        </w:trPr>
        <w:tc>
          <w:tcPr>
            <w:tcW w:w="425" w:type="dxa"/>
          </w:tcPr>
          <w:p w14:paraId="394BBC04" w14:textId="77777777" w:rsidR="00393BEE" w:rsidRPr="00D32A71" w:rsidRDefault="00393BEE" w:rsidP="00FA340F">
            <w:pPr>
              <w:pStyle w:val="Bezatstarpm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969" w:type="dxa"/>
          </w:tcPr>
          <w:p w14:paraId="2978B46E" w14:textId="77777777" w:rsidR="00393BEE" w:rsidRPr="00D32A71" w:rsidRDefault="00393BEE" w:rsidP="00FA340F">
            <w:pPr>
              <w:pStyle w:val="Bezatstarpm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5103" w:type="dxa"/>
          </w:tcPr>
          <w:p w14:paraId="16AEA4AC" w14:textId="77777777" w:rsidR="00393BEE" w:rsidRPr="00D32A71" w:rsidRDefault="00393BEE" w:rsidP="00FA340F">
            <w:pPr>
              <w:pStyle w:val="Bezatstarpm"/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</w:pPr>
            <w:r w:rsidRPr="00D32A71">
              <w:rPr>
                <w:rFonts w:ascii="Times New Roman" w:hAnsi="Times New Roman" w:cs="Times New Roman"/>
                <w:spacing w:val="-2"/>
                <w:sz w:val="24"/>
                <w:szCs w:val="24"/>
                <w:lang w:eastAsia="lv-LV"/>
              </w:rPr>
              <w:t>Nav.</w:t>
            </w:r>
          </w:p>
        </w:tc>
      </w:tr>
    </w:tbl>
    <w:p w14:paraId="4B9322AA" w14:textId="77777777" w:rsidR="00393BEE" w:rsidRPr="00D32A71" w:rsidRDefault="00393BEE" w:rsidP="00393BEE">
      <w:pPr>
        <w:pStyle w:val="Bezatstarpm"/>
        <w:rPr>
          <w:rFonts w:ascii="Times New Roman" w:hAnsi="Times New Roman" w:cs="Times New Roman"/>
          <w:spacing w:val="-2"/>
          <w:sz w:val="28"/>
          <w:szCs w:val="24"/>
          <w:lang w:eastAsia="lv-LV"/>
        </w:rPr>
      </w:pPr>
    </w:p>
    <w:p w14:paraId="16A4739A" w14:textId="77777777" w:rsidR="001B6DD6" w:rsidRDefault="001B6DD6" w:rsidP="005D16B0">
      <w:pPr>
        <w:pStyle w:val="Body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388DAF13" w14:textId="77777777" w:rsidR="001B6DD6" w:rsidRDefault="001B6DD6" w:rsidP="005D16B0">
      <w:pPr>
        <w:pStyle w:val="Body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45908BFD" w14:textId="22410BE1" w:rsidR="00AE3B84" w:rsidRPr="00CC3327" w:rsidRDefault="001E1E69" w:rsidP="005D16B0">
      <w:pPr>
        <w:pStyle w:val="Body"/>
        <w:tabs>
          <w:tab w:val="left" w:pos="6804"/>
        </w:tabs>
        <w:spacing w:after="0" w:line="240" w:lineRule="auto"/>
        <w:jc w:val="both"/>
        <w:rPr>
          <w:rFonts w:ascii="Times New Roman" w:hAnsi="Times New Roman"/>
          <w:color w:val="auto"/>
          <w:sz w:val="28"/>
          <w:lang w:val="de-DE"/>
        </w:rPr>
      </w:pPr>
      <w:r w:rsidRPr="009F0B4D">
        <w:rPr>
          <w:rFonts w:ascii="Times New Roman" w:hAnsi="Times New Roman"/>
          <w:color w:val="auto"/>
          <w:sz w:val="28"/>
        </w:rPr>
        <w:t>Zemkopības ministrs</w:t>
      </w:r>
      <w:r w:rsidR="009F0B4D">
        <w:rPr>
          <w:rFonts w:ascii="Times New Roman" w:hAnsi="Times New Roman"/>
          <w:color w:val="auto"/>
          <w:sz w:val="28"/>
          <w:lang w:val="de-DE"/>
        </w:rPr>
        <w:tab/>
      </w:r>
      <w:r>
        <w:rPr>
          <w:rFonts w:ascii="Times New Roman" w:hAnsi="Times New Roman"/>
          <w:color w:val="auto"/>
          <w:sz w:val="28"/>
          <w:lang w:val="de-DE"/>
        </w:rPr>
        <w:tab/>
      </w:r>
      <w:r w:rsidRPr="00DE283C">
        <w:rPr>
          <w:rFonts w:ascii="Times New Roman" w:hAnsi="Times New Roman"/>
          <w:color w:val="auto"/>
          <w:sz w:val="28"/>
          <w:lang w:val="de-DE"/>
        </w:rPr>
        <w:t>K</w:t>
      </w:r>
      <w:r>
        <w:rPr>
          <w:rFonts w:ascii="Times New Roman" w:hAnsi="Times New Roman"/>
          <w:color w:val="auto"/>
          <w:sz w:val="28"/>
          <w:lang w:val="de-DE"/>
        </w:rPr>
        <w:t>. </w:t>
      </w:r>
      <w:r w:rsidRPr="00DE283C">
        <w:rPr>
          <w:rFonts w:ascii="Times New Roman" w:hAnsi="Times New Roman"/>
          <w:color w:val="auto"/>
          <w:sz w:val="28"/>
          <w:lang w:val="de-DE"/>
        </w:rPr>
        <w:t>Gerhards</w:t>
      </w:r>
    </w:p>
    <w:p w14:paraId="1C63A8DE" w14:textId="77777777" w:rsidR="001526B6" w:rsidRDefault="001526B6" w:rsidP="00D10F94">
      <w:pPr>
        <w:jc w:val="both"/>
        <w:rPr>
          <w:spacing w:val="-2"/>
          <w:szCs w:val="20"/>
        </w:rPr>
      </w:pPr>
      <w:bookmarkStart w:id="0" w:name="_GoBack"/>
      <w:bookmarkEnd w:id="0"/>
    </w:p>
    <w:p w14:paraId="4E46D9A9" w14:textId="77777777" w:rsidR="001B6DD6" w:rsidRDefault="001B6DD6" w:rsidP="00D10F94">
      <w:pPr>
        <w:jc w:val="both"/>
        <w:rPr>
          <w:spacing w:val="-2"/>
          <w:szCs w:val="20"/>
        </w:rPr>
      </w:pPr>
    </w:p>
    <w:p w14:paraId="36054586" w14:textId="77777777" w:rsidR="001B6DD6" w:rsidRDefault="001B6DD6" w:rsidP="00D10F94">
      <w:pPr>
        <w:jc w:val="both"/>
        <w:rPr>
          <w:spacing w:val="-2"/>
          <w:szCs w:val="20"/>
        </w:rPr>
      </w:pPr>
    </w:p>
    <w:p w14:paraId="2750F5B2" w14:textId="649EAAA4" w:rsidR="001526B6" w:rsidRDefault="00F65B6D" w:rsidP="00D10F94">
      <w:pPr>
        <w:jc w:val="both"/>
        <w:rPr>
          <w:spacing w:val="-2"/>
          <w:szCs w:val="20"/>
        </w:rPr>
      </w:pPr>
      <w:r>
        <w:rPr>
          <w:spacing w:val="-2"/>
          <w:szCs w:val="20"/>
        </w:rPr>
        <w:t xml:space="preserve">Kokare 67027066 </w:t>
      </w:r>
    </w:p>
    <w:p w14:paraId="6AB415C8" w14:textId="6587D706" w:rsidR="008D2E32" w:rsidRPr="00D32A71" w:rsidRDefault="009F0B4D" w:rsidP="00D10F94">
      <w:pPr>
        <w:jc w:val="both"/>
        <w:rPr>
          <w:spacing w:val="-2"/>
        </w:rPr>
      </w:pPr>
      <w:hyperlink r:id="rId10" w:history="1">
        <w:r w:rsidR="00F65B6D" w:rsidRPr="00356E5A">
          <w:rPr>
            <w:rStyle w:val="Hipersaite"/>
            <w:spacing w:val="-2"/>
            <w:szCs w:val="20"/>
          </w:rPr>
          <w:t>edite.kokare@zm.gov.lv</w:t>
        </w:r>
      </w:hyperlink>
      <w:r w:rsidR="003F1CD4" w:rsidRPr="00D32A71">
        <w:rPr>
          <w:spacing w:val="-2"/>
          <w:szCs w:val="20"/>
        </w:rPr>
        <w:t xml:space="preserve"> </w:t>
      </w:r>
    </w:p>
    <w:p w14:paraId="6A5B2489" w14:textId="45957B4E" w:rsidR="001E1E69" w:rsidRDefault="001E1E69" w:rsidP="00D10F94">
      <w:pPr>
        <w:jc w:val="both"/>
        <w:rPr>
          <w:spacing w:val="-2"/>
        </w:rPr>
      </w:pPr>
    </w:p>
    <w:sectPr w:rsidR="001E1E69" w:rsidSect="001C194E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F21FA" w14:textId="77777777" w:rsidR="007B6AB0" w:rsidRDefault="007B6AB0" w:rsidP="006575E4">
      <w:r>
        <w:separator/>
      </w:r>
    </w:p>
  </w:endnote>
  <w:endnote w:type="continuationSeparator" w:id="0">
    <w:p w14:paraId="4F437846" w14:textId="77777777" w:rsidR="007B6AB0" w:rsidRDefault="007B6AB0" w:rsidP="0065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035" w14:textId="06B2568F" w:rsidR="00E77699" w:rsidRDefault="009F0B4D">
    <w:pPr>
      <w:pStyle w:val="Kjene"/>
    </w:pPr>
    <w:r w:rsidRPr="009F0B4D">
      <w:rPr>
        <w:sz w:val="20"/>
        <w:szCs w:val="20"/>
      </w:rPr>
      <w:t>ZManot_281220_VML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30DD6" w14:textId="5BBC5E50" w:rsidR="00E77699" w:rsidRPr="009F0B4D" w:rsidRDefault="009F0B4D" w:rsidP="009F0B4D">
    <w:pPr>
      <w:pStyle w:val="Kjene"/>
    </w:pPr>
    <w:r w:rsidRPr="009F0B4D">
      <w:rPr>
        <w:sz w:val="20"/>
      </w:rPr>
      <w:t>ZManot_281220_VML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DD59" w14:textId="77777777" w:rsidR="007B6AB0" w:rsidRDefault="007B6AB0" w:rsidP="006575E4">
      <w:r>
        <w:separator/>
      </w:r>
    </w:p>
  </w:footnote>
  <w:footnote w:type="continuationSeparator" w:id="0">
    <w:p w14:paraId="5FBA1939" w14:textId="77777777" w:rsidR="007B6AB0" w:rsidRDefault="007B6AB0" w:rsidP="0065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456685"/>
      <w:docPartObj>
        <w:docPartGallery w:val="Page Numbers (Top of Page)"/>
        <w:docPartUnique/>
      </w:docPartObj>
    </w:sdtPr>
    <w:sdtEndPr/>
    <w:sdtContent>
      <w:p w14:paraId="6F0A8F77" w14:textId="23D7B1E8" w:rsidR="00E77699" w:rsidRDefault="00E77699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AD">
          <w:rPr>
            <w:noProof/>
          </w:rPr>
          <w:t>9</w:t>
        </w:r>
        <w:r>
          <w:fldChar w:fldCharType="end"/>
        </w:r>
      </w:p>
    </w:sdtContent>
  </w:sdt>
  <w:p w14:paraId="032EACDD" w14:textId="77777777" w:rsidR="00E77699" w:rsidRDefault="00E7769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0256"/>
    <w:multiLevelType w:val="hybridMultilevel"/>
    <w:tmpl w:val="5ED2FB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333F4"/>
    <w:multiLevelType w:val="hybridMultilevel"/>
    <w:tmpl w:val="A1908F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3D7"/>
    <w:multiLevelType w:val="hybridMultilevel"/>
    <w:tmpl w:val="7B88A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282C"/>
    <w:multiLevelType w:val="multilevel"/>
    <w:tmpl w:val="8FFE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C7456"/>
    <w:multiLevelType w:val="multilevel"/>
    <w:tmpl w:val="905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E7677"/>
    <w:multiLevelType w:val="hybridMultilevel"/>
    <w:tmpl w:val="52DC4214"/>
    <w:lvl w:ilvl="0" w:tplc="736EBA2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BEE"/>
    <w:rsid w:val="00002F3E"/>
    <w:rsid w:val="00006167"/>
    <w:rsid w:val="000116AB"/>
    <w:rsid w:val="0001275C"/>
    <w:rsid w:val="00016276"/>
    <w:rsid w:val="00023155"/>
    <w:rsid w:val="00023CB2"/>
    <w:rsid w:val="00025625"/>
    <w:rsid w:val="00025CA1"/>
    <w:rsid w:val="00027821"/>
    <w:rsid w:val="00030436"/>
    <w:rsid w:val="00030653"/>
    <w:rsid w:val="00032504"/>
    <w:rsid w:val="0003269F"/>
    <w:rsid w:val="00032752"/>
    <w:rsid w:val="0003344A"/>
    <w:rsid w:val="00034269"/>
    <w:rsid w:val="00034534"/>
    <w:rsid w:val="00035419"/>
    <w:rsid w:val="000357D0"/>
    <w:rsid w:val="0003602D"/>
    <w:rsid w:val="00041724"/>
    <w:rsid w:val="000438C9"/>
    <w:rsid w:val="00043D6D"/>
    <w:rsid w:val="0004405F"/>
    <w:rsid w:val="00044719"/>
    <w:rsid w:val="000477BC"/>
    <w:rsid w:val="00047A79"/>
    <w:rsid w:val="000500BF"/>
    <w:rsid w:val="0005243B"/>
    <w:rsid w:val="00055C38"/>
    <w:rsid w:val="00060925"/>
    <w:rsid w:val="00061915"/>
    <w:rsid w:val="00061CC7"/>
    <w:rsid w:val="0006574C"/>
    <w:rsid w:val="00065A77"/>
    <w:rsid w:val="000669C5"/>
    <w:rsid w:val="000673DF"/>
    <w:rsid w:val="0007320A"/>
    <w:rsid w:val="00073666"/>
    <w:rsid w:val="00077948"/>
    <w:rsid w:val="00077ADA"/>
    <w:rsid w:val="0008188B"/>
    <w:rsid w:val="00081964"/>
    <w:rsid w:val="00081ADE"/>
    <w:rsid w:val="00082B67"/>
    <w:rsid w:val="000866AA"/>
    <w:rsid w:val="00090CC0"/>
    <w:rsid w:val="00093082"/>
    <w:rsid w:val="00094499"/>
    <w:rsid w:val="00094C50"/>
    <w:rsid w:val="00094ECB"/>
    <w:rsid w:val="0009599F"/>
    <w:rsid w:val="0009789C"/>
    <w:rsid w:val="000A1EF1"/>
    <w:rsid w:val="000A28D0"/>
    <w:rsid w:val="000A6431"/>
    <w:rsid w:val="000A6930"/>
    <w:rsid w:val="000B12BA"/>
    <w:rsid w:val="000B6774"/>
    <w:rsid w:val="000B7142"/>
    <w:rsid w:val="000B7784"/>
    <w:rsid w:val="000B7928"/>
    <w:rsid w:val="000C0D38"/>
    <w:rsid w:val="000C0DE4"/>
    <w:rsid w:val="000C16D5"/>
    <w:rsid w:val="000C1D33"/>
    <w:rsid w:val="000C20CE"/>
    <w:rsid w:val="000C2666"/>
    <w:rsid w:val="000C3A20"/>
    <w:rsid w:val="000C5D29"/>
    <w:rsid w:val="000C5FDB"/>
    <w:rsid w:val="000D0941"/>
    <w:rsid w:val="000D09E6"/>
    <w:rsid w:val="000D15C4"/>
    <w:rsid w:val="000D2360"/>
    <w:rsid w:val="000D31E1"/>
    <w:rsid w:val="000D711E"/>
    <w:rsid w:val="000E04F9"/>
    <w:rsid w:val="000E09F8"/>
    <w:rsid w:val="000E11AA"/>
    <w:rsid w:val="000E1C94"/>
    <w:rsid w:val="000E225D"/>
    <w:rsid w:val="000E2697"/>
    <w:rsid w:val="000E26B8"/>
    <w:rsid w:val="000E32E4"/>
    <w:rsid w:val="000E63C3"/>
    <w:rsid w:val="000F1560"/>
    <w:rsid w:val="000F3DC1"/>
    <w:rsid w:val="000F42F5"/>
    <w:rsid w:val="00100735"/>
    <w:rsid w:val="00101731"/>
    <w:rsid w:val="00102D83"/>
    <w:rsid w:val="001047B4"/>
    <w:rsid w:val="001060FD"/>
    <w:rsid w:val="00106139"/>
    <w:rsid w:val="00110FFC"/>
    <w:rsid w:val="001119AD"/>
    <w:rsid w:val="001142E4"/>
    <w:rsid w:val="001171D7"/>
    <w:rsid w:val="00117659"/>
    <w:rsid w:val="00117C6E"/>
    <w:rsid w:val="00122898"/>
    <w:rsid w:val="00125A36"/>
    <w:rsid w:val="00127481"/>
    <w:rsid w:val="001324CB"/>
    <w:rsid w:val="001348A7"/>
    <w:rsid w:val="001351D3"/>
    <w:rsid w:val="00135D03"/>
    <w:rsid w:val="0013676A"/>
    <w:rsid w:val="00137FB5"/>
    <w:rsid w:val="00140240"/>
    <w:rsid w:val="00140BF7"/>
    <w:rsid w:val="00141361"/>
    <w:rsid w:val="00141592"/>
    <w:rsid w:val="0014167E"/>
    <w:rsid w:val="00144F41"/>
    <w:rsid w:val="00146A00"/>
    <w:rsid w:val="00146B5A"/>
    <w:rsid w:val="0014768A"/>
    <w:rsid w:val="00151CE1"/>
    <w:rsid w:val="00152538"/>
    <w:rsid w:val="001526B6"/>
    <w:rsid w:val="00156349"/>
    <w:rsid w:val="001564D5"/>
    <w:rsid w:val="00156CB7"/>
    <w:rsid w:val="00156D64"/>
    <w:rsid w:val="00157A71"/>
    <w:rsid w:val="00160DD4"/>
    <w:rsid w:val="00161520"/>
    <w:rsid w:val="001619B1"/>
    <w:rsid w:val="00162D48"/>
    <w:rsid w:val="001647C9"/>
    <w:rsid w:val="00167DBF"/>
    <w:rsid w:val="00171402"/>
    <w:rsid w:val="0017225E"/>
    <w:rsid w:val="00174841"/>
    <w:rsid w:val="00174DE1"/>
    <w:rsid w:val="00176103"/>
    <w:rsid w:val="00181320"/>
    <w:rsid w:val="00183E85"/>
    <w:rsid w:val="00187406"/>
    <w:rsid w:val="00190370"/>
    <w:rsid w:val="00194486"/>
    <w:rsid w:val="0019620F"/>
    <w:rsid w:val="00196D8C"/>
    <w:rsid w:val="001A0778"/>
    <w:rsid w:val="001A1482"/>
    <w:rsid w:val="001A2A4D"/>
    <w:rsid w:val="001A2B2A"/>
    <w:rsid w:val="001A3BBF"/>
    <w:rsid w:val="001A3D9C"/>
    <w:rsid w:val="001B2B04"/>
    <w:rsid w:val="001B317B"/>
    <w:rsid w:val="001B31D1"/>
    <w:rsid w:val="001B5C16"/>
    <w:rsid w:val="001B6DD6"/>
    <w:rsid w:val="001B6F9A"/>
    <w:rsid w:val="001B76DF"/>
    <w:rsid w:val="001B7B04"/>
    <w:rsid w:val="001C09AE"/>
    <w:rsid w:val="001C194E"/>
    <w:rsid w:val="001C1F49"/>
    <w:rsid w:val="001C6B6B"/>
    <w:rsid w:val="001D2289"/>
    <w:rsid w:val="001D27CF"/>
    <w:rsid w:val="001D2B4F"/>
    <w:rsid w:val="001D2D3F"/>
    <w:rsid w:val="001D32EF"/>
    <w:rsid w:val="001D49A5"/>
    <w:rsid w:val="001D58D1"/>
    <w:rsid w:val="001D5CD2"/>
    <w:rsid w:val="001D6E52"/>
    <w:rsid w:val="001D778E"/>
    <w:rsid w:val="001E085A"/>
    <w:rsid w:val="001E1E69"/>
    <w:rsid w:val="001E28B5"/>
    <w:rsid w:val="001E3E8F"/>
    <w:rsid w:val="001E47AC"/>
    <w:rsid w:val="001E6CF3"/>
    <w:rsid w:val="001F0544"/>
    <w:rsid w:val="001F118C"/>
    <w:rsid w:val="001F1FAC"/>
    <w:rsid w:val="001F282D"/>
    <w:rsid w:val="001F36F3"/>
    <w:rsid w:val="001F3F4F"/>
    <w:rsid w:val="001F536D"/>
    <w:rsid w:val="001F7ED5"/>
    <w:rsid w:val="002024D7"/>
    <w:rsid w:val="00204158"/>
    <w:rsid w:val="002045D2"/>
    <w:rsid w:val="002065C0"/>
    <w:rsid w:val="00206E01"/>
    <w:rsid w:val="00207CD6"/>
    <w:rsid w:val="00207E09"/>
    <w:rsid w:val="002120F2"/>
    <w:rsid w:val="002129A2"/>
    <w:rsid w:val="002137B5"/>
    <w:rsid w:val="00213E04"/>
    <w:rsid w:val="00215FB5"/>
    <w:rsid w:val="00224F44"/>
    <w:rsid w:val="0022579A"/>
    <w:rsid w:val="00227D0F"/>
    <w:rsid w:val="0023324B"/>
    <w:rsid w:val="002336D9"/>
    <w:rsid w:val="002362B5"/>
    <w:rsid w:val="00246349"/>
    <w:rsid w:val="00247597"/>
    <w:rsid w:val="0025161A"/>
    <w:rsid w:val="00252006"/>
    <w:rsid w:val="002524DF"/>
    <w:rsid w:val="00253307"/>
    <w:rsid w:val="0025464C"/>
    <w:rsid w:val="002553AD"/>
    <w:rsid w:val="0025660A"/>
    <w:rsid w:val="00256E88"/>
    <w:rsid w:val="002624A5"/>
    <w:rsid w:val="00262E3A"/>
    <w:rsid w:val="002639A3"/>
    <w:rsid w:val="00264230"/>
    <w:rsid w:val="00266577"/>
    <w:rsid w:val="00267E00"/>
    <w:rsid w:val="002700A5"/>
    <w:rsid w:val="00270C98"/>
    <w:rsid w:val="0027271A"/>
    <w:rsid w:val="00272F77"/>
    <w:rsid w:val="00273033"/>
    <w:rsid w:val="00274789"/>
    <w:rsid w:val="00277ADA"/>
    <w:rsid w:val="002808FE"/>
    <w:rsid w:val="00280B31"/>
    <w:rsid w:val="002816BD"/>
    <w:rsid w:val="0028244C"/>
    <w:rsid w:val="00282580"/>
    <w:rsid w:val="002846F1"/>
    <w:rsid w:val="00293116"/>
    <w:rsid w:val="002A0689"/>
    <w:rsid w:val="002A33A3"/>
    <w:rsid w:val="002A3877"/>
    <w:rsid w:val="002A4239"/>
    <w:rsid w:val="002A5C90"/>
    <w:rsid w:val="002A6DC8"/>
    <w:rsid w:val="002A72C9"/>
    <w:rsid w:val="002A7DF0"/>
    <w:rsid w:val="002B110A"/>
    <w:rsid w:val="002B1A6C"/>
    <w:rsid w:val="002B375C"/>
    <w:rsid w:val="002B3BD1"/>
    <w:rsid w:val="002B4DD1"/>
    <w:rsid w:val="002B5473"/>
    <w:rsid w:val="002C1110"/>
    <w:rsid w:val="002C1C2F"/>
    <w:rsid w:val="002C3EEB"/>
    <w:rsid w:val="002C6BE6"/>
    <w:rsid w:val="002D08CE"/>
    <w:rsid w:val="002D11A1"/>
    <w:rsid w:val="002D1237"/>
    <w:rsid w:val="002D168A"/>
    <w:rsid w:val="002D27A2"/>
    <w:rsid w:val="002D640C"/>
    <w:rsid w:val="002D713C"/>
    <w:rsid w:val="002E1258"/>
    <w:rsid w:val="002E24B7"/>
    <w:rsid w:val="002E4F3C"/>
    <w:rsid w:val="002E54F4"/>
    <w:rsid w:val="002E5615"/>
    <w:rsid w:val="002F1427"/>
    <w:rsid w:val="002F1749"/>
    <w:rsid w:val="002F3CFA"/>
    <w:rsid w:val="002F3D83"/>
    <w:rsid w:val="002F4E9F"/>
    <w:rsid w:val="002F5C7F"/>
    <w:rsid w:val="002F639C"/>
    <w:rsid w:val="002F68C6"/>
    <w:rsid w:val="00306A2D"/>
    <w:rsid w:val="00313A4B"/>
    <w:rsid w:val="00315018"/>
    <w:rsid w:val="003164D5"/>
    <w:rsid w:val="003210A7"/>
    <w:rsid w:val="003213CB"/>
    <w:rsid w:val="00321817"/>
    <w:rsid w:val="00322CCC"/>
    <w:rsid w:val="00323C37"/>
    <w:rsid w:val="00325EF9"/>
    <w:rsid w:val="00327895"/>
    <w:rsid w:val="003301E1"/>
    <w:rsid w:val="00332248"/>
    <w:rsid w:val="00333BDE"/>
    <w:rsid w:val="00333E8E"/>
    <w:rsid w:val="00334B82"/>
    <w:rsid w:val="00334D9F"/>
    <w:rsid w:val="00336365"/>
    <w:rsid w:val="003365D4"/>
    <w:rsid w:val="0033676E"/>
    <w:rsid w:val="00340EC5"/>
    <w:rsid w:val="00341B46"/>
    <w:rsid w:val="003421E5"/>
    <w:rsid w:val="0034487D"/>
    <w:rsid w:val="00345D93"/>
    <w:rsid w:val="003461A3"/>
    <w:rsid w:val="00346E71"/>
    <w:rsid w:val="003508F6"/>
    <w:rsid w:val="0035671E"/>
    <w:rsid w:val="00360290"/>
    <w:rsid w:val="003625C9"/>
    <w:rsid w:val="003659B6"/>
    <w:rsid w:val="00366070"/>
    <w:rsid w:val="003667BF"/>
    <w:rsid w:val="003670E2"/>
    <w:rsid w:val="003740B7"/>
    <w:rsid w:val="00375761"/>
    <w:rsid w:val="0037701C"/>
    <w:rsid w:val="00377E05"/>
    <w:rsid w:val="003816C3"/>
    <w:rsid w:val="00383385"/>
    <w:rsid w:val="00384DD0"/>
    <w:rsid w:val="00386C83"/>
    <w:rsid w:val="003913DE"/>
    <w:rsid w:val="00393474"/>
    <w:rsid w:val="0039370A"/>
    <w:rsid w:val="00393BEE"/>
    <w:rsid w:val="003945CC"/>
    <w:rsid w:val="0039507D"/>
    <w:rsid w:val="00396589"/>
    <w:rsid w:val="00396CD9"/>
    <w:rsid w:val="003A2782"/>
    <w:rsid w:val="003A2D8E"/>
    <w:rsid w:val="003A415F"/>
    <w:rsid w:val="003B0766"/>
    <w:rsid w:val="003B13B2"/>
    <w:rsid w:val="003B16F6"/>
    <w:rsid w:val="003B428C"/>
    <w:rsid w:val="003B5552"/>
    <w:rsid w:val="003B658C"/>
    <w:rsid w:val="003B686B"/>
    <w:rsid w:val="003C0A57"/>
    <w:rsid w:val="003D009A"/>
    <w:rsid w:val="003D0F2D"/>
    <w:rsid w:val="003D2049"/>
    <w:rsid w:val="003D2113"/>
    <w:rsid w:val="003D44F8"/>
    <w:rsid w:val="003D4B63"/>
    <w:rsid w:val="003D673A"/>
    <w:rsid w:val="003D7363"/>
    <w:rsid w:val="003D77B5"/>
    <w:rsid w:val="003E08C0"/>
    <w:rsid w:val="003E1C60"/>
    <w:rsid w:val="003E40AC"/>
    <w:rsid w:val="003E5370"/>
    <w:rsid w:val="003E5387"/>
    <w:rsid w:val="003E5F01"/>
    <w:rsid w:val="003E61E2"/>
    <w:rsid w:val="003E7C2C"/>
    <w:rsid w:val="003F1573"/>
    <w:rsid w:val="003F1CD4"/>
    <w:rsid w:val="003F3807"/>
    <w:rsid w:val="003F50C4"/>
    <w:rsid w:val="003F57AA"/>
    <w:rsid w:val="003F6838"/>
    <w:rsid w:val="003F6B35"/>
    <w:rsid w:val="003F6D31"/>
    <w:rsid w:val="003F706D"/>
    <w:rsid w:val="003F74E0"/>
    <w:rsid w:val="0040261D"/>
    <w:rsid w:val="00402B02"/>
    <w:rsid w:val="00403B7B"/>
    <w:rsid w:val="00404F94"/>
    <w:rsid w:val="00412564"/>
    <w:rsid w:val="00412D49"/>
    <w:rsid w:val="00413419"/>
    <w:rsid w:val="004149D3"/>
    <w:rsid w:val="00416C9D"/>
    <w:rsid w:val="00420674"/>
    <w:rsid w:val="004212F3"/>
    <w:rsid w:val="004215A9"/>
    <w:rsid w:val="00421B33"/>
    <w:rsid w:val="00425D04"/>
    <w:rsid w:val="00427723"/>
    <w:rsid w:val="004322F1"/>
    <w:rsid w:val="00432BC7"/>
    <w:rsid w:val="00433D4D"/>
    <w:rsid w:val="00436F9F"/>
    <w:rsid w:val="00437D42"/>
    <w:rsid w:val="004460EB"/>
    <w:rsid w:val="004470DA"/>
    <w:rsid w:val="0044777F"/>
    <w:rsid w:val="00447C3E"/>
    <w:rsid w:val="00450B62"/>
    <w:rsid w:val="0045286D"/>
    <w:rsid w:val="00452C12"/>
    <w:rsid w:val="004566BB"/>
    <w:rsid w:val="00456783"/>
    <w:rsid w:val="00457AFA"/>
    <w:rsid w:val="004615E8"/>
    <w:rsid w:val="00461BC4"/>
    <w:rsid w:val="00463220"/>
    <w:rsid w:val="00463EFE"/>
    <w:rsid w:val="0046594D"/>
    <w:rsid w:val="0046687D"/>
    <w:rsid w:val="00470669"/>
    <w:rsid w:val="00470FE6"/>
    <w:rsid w:val="004710F0"/>
    <w:rsid w:val="004734E9"/>
    <w:rsid w:val="004739C5"/>
    <w:rsid w:val="00473EF9"/>
    <w:rsid w:val="00474149"/>
    <w:rsid w:val="0047453B"/>
    <w:rsid w:val="00476F90"/>
    <w:rsid w:val="0047709A"/>
    <w:rsid w:val="004820FF"/>
    <w:rsid w:val="004825A3"/>
    <w:rsid w:val="00484966"/>
    <w:rsid w:val="00485785"/>
    <w:rsid w:val="004859FC"/>
    <w:rsid w:val="0048618D"/>
    <w:rsid w:val="004863EC"/>
    <w:rsid w:val="00490FB8"/>
    <w:rsid w:val="00495739"/>
    <w:rsid w:val="00495A83"/>
    <w:rsid w:val="00496061"/>
    <w:rsid w:val="004969C6"/>
    <w:rsid w:val="004A002E"/>
    <w:rsid w:val="004A0D15"/>
    <w:rsid w:val="004A0DDC"/>
    <w:rsid w:val="004A49FE"/>
    <w:rsid w:val="004A615A"/>
    <w:rsid w:val="004A70A6"/>
    <w:rsid w:val="004B0678"/>
    <w:rsid w:val="004B44D8"/>
    <w:rsid w:val="004B4A0E"/>
    <w:rsid w:val="004C0530"/>
    <w:rsid w:val="004C056E"/>
    <w:rsid w:val="004C08A9"/>
    <w:rsid w:val="004C296D"/>
    <w:rsid w:val="004C4130"/>
    <w:rsid w:val="004C42EB"/>
    <w:rsid w:val="004C459C"/>
    <w:rsid w:val="004C757B"/>
    <w:rsid w:val="004D0154"/>
    <w:rsid w:val="004D0B2C"/>
    <w:rsid w:val="004D0FA6"/>
    <w:rsid w:val="004D2D87"/>
    <w:rsid w:val="004D37BB"/>
    <w:rsid w:val="004E2C01"/>
    <w:rsid w:val="004E53F3"/>
    <w:rsid w:val="004F2DBE"/>
    <w:rsid w:val="004F373A"/>
    <w:rsid w:val="004F3AEB"/>
    <w:rsid w:val="004F45F1"/>
    <w:rsid w:val="004F477F"/>
    <w:rsid w:val="004F5008"/>
    <w:rsid w:val="004F5152"/>
    <w:rsid w:val="004F7416"/>
    <w:rsid w:val="00500B7A"/>
    <w:rsid w:val="005012C9"/>
    <w:rsid w:val="005019BC"/>
    <w:rsid w:val="00502C63"/>
    <w:rsid w:val="005038CF"/>
    <w:rsid w:val="0051340A"/>
    <w:rsid w:val="00520801"/>
    <w:rsid w:val="005215B6"/>
    <w:rsid w:val="00521D5E"/>
    <w:rsid w:val="00522334"/>
    <w:rsid w:val="00522BAB"/>
    <w:rsid w:val="00522C20"/>
    <w:rsid w:val="00523A7B"/>
    <w:rsid w:val="00523F2A"/>
    <w:rsid w:val="005253CB"/>
    <w:rsid w:val="0052754C"/>
    <w:rsid w:val="00530FF0"/>
    <w:rsid w:val="005333DD"/>
    <w:rsid w:val="00533E44"/>
    <w:rsid w:val="00534F5E"/>
    <w:rsid w:val="0053587E"/>
    <w:rsid w:val="00535BEA"/>
    <w:rsid w:val="00536347"/>
    <w:rsid w:val="00541840"/>
    <w:rsid w:val="00543AAD"/>
    <w:rsid w:val="0054491A"/>
    <w:rsid w:val="005451CA"/>
    <w:rsid w:val="00546238"/>
    <w:rsid w:val="005530A0"/>
    <w:rsid w:val="005567B2"/>
    <w:rsid w:val="0056191A"/>
    <w:rsid w:val="00561A43"/>
    <w:rsid w:val="00562885"/>
    <w:rsid w:val="00563DC0"/>
    <w:rsid w:val="0056437F"/>
    <w:rsid w:val="005647BA"/>
    <w:rsid w:val="00564D37"/>
    <w:rsid w:val="00572BDF"/>
    <w:rsid w:val="00575F9D"/>
    <w:rsid w:val="00576FF4"/>
    <w:rsid w:val="00577A46"/>
    <w:rsid w:val="0058085A"/>
    <w:rsid w:val="0058224F"/>
    <w:rsid w:val="005828C7"/>
    <w:rsid w:val="00594010"/>
    <w:rsid w:val="00596E61"/>
    <w:rsid w:val="005A2C8D"/>
    <w:rsid w:val="005A35A1"/>
    <w:rsid w:val="005A4D54"/>
    <w:rsid w:val="005A5483"/>
    <w:rsid w:val="005B12F0"/>
    <w:rsid w:val="005B22CF"/>
    <w:rsid w:val="005B403A"/>
    <w:rsid w:val="005B4C6A"/>
    <w:rsid w:val="005B562F"/>
    <w:rsid w:val="005B572B"/>
    <w:rsid w:val="005B7576"/>
    <w:rsid w:val="005C0019"/>
    <w:rsid w:val="005C081D"/>
    <w:rsid w:val="005C0B33"/>
    <w:rsid w:val="005C289E"/>
    <w:rsid w:val="005C6ED6"/>
    <w:rsid w:val="005D16B0"/>
    <w:rsid w:val="005D2E40"/>
    <w:rsid w:val="005D42BB"/>
    <w:rsid w:val="005E0554"/>
    <w:rsid w:val="005E091A"/>
    <w:rsid w:val="005E151B"/>
    <w:rsid w:val="005E2E7E"/>
    <w:rsid w:val="005E42A8"/>
    <w:rsid w:val="005E4F99"/>
    <w:rsid w:val="005E6441"/>
    <w:rsid w:val="005E691B"/>
    <w:rsid w:val="005E6A97"/>
    <w:rsid w:val="005F18DB"/>
    <w:rsid w:val="005F215C"/>
    <w:rsid w:val="005F28D9"/>
    <w:rsid w:val="005F3760"/>
    <w:rsid w:val="005F39F0"/>
    <w:rsid w:val="005F4B5C"/>
    <w:rsid w:val="005F564F"/>
    <w:rsid w:val="005F5AE0"/>
    <w:rsid w:val="005F6E2C"/>
    <w:rsid w:val="00600A6A"/>
    <w:rsid w:val="00607476"/>
    <w:rsid w:val="0061081E"/>
    <w:rsid w:val="00610D11"/>
    <w:rsid w:val="006127BD"/>
    <w:rsid w:val="00612FEC"/>
    <w:rsid w:val="006130A5"/>
    <w:rsid w:val="00615193"/>
    <w:rsid w:val="00616D59"/>
    <w:rsid w:val="0062203D"/>
    <w:rsid w:val="00626F9E"/>
    <w:rsid w:val="00630095"/>
    <w:rsid w:val="00631DD8"/>
    <w:rsid w:val="0063244A"/>
    <w:rsid w:val="00632E34"/>
    <w:rsid w:val="006340D2"/>
    <w:rsid w:val="00634698"/>
    <w:rsid w:val="006347FD"/>
    <w:rsid w:val="00634C75"/>
    <w:rsid w:val="00634EDD"/>
    <w:rsid w:val="006354B9"/>
    <w:rsid w:val="00635704"/>
    <w:rsid w:val="0063658D"/>
    <w:rsid w:val="006366C3"/>
    <w:rsid w:val="00636E9B"/>
    <w:rsid w:val="0064242E"/>
    <w:rsid w:val="0064284D"/>
    <w:rsid w:val="006436F4"/>
    <w:rsid w:val="00644907"/>
    <w:rsid w:val="00650720"/>
    <w:rsid w:val="00652331"/>
    <w:rsid w:val="006550B5"/>
    <w:rsid w:val="00655F6B"/>
    <w:rsid w:val="006566F7"/>
    <w:rsid w:val="006575E4"/>
    <w:rsid w:val="0066098D"/>
    <w:rsid w:val="00660B81"/>
    <w:rsid w:val="00660F5A"/>
    <w:rsid w:val="006612E5"/>
    <w:rsid w:val="006616CB"/>
    <w:rsid w:val="00662AC4"/>
    <w:rsid w:val="0066379F"/>
    <w:rsid w:val="006637A1"/>
    <w:rsid w:val="006651AA"/>
    <w:rsid w:val="006668AE"/>
    <w:rsid w:val="006707A5"/>
    <w:rsid w:val="00672BAC"/>
    <w:rsid w:val="00673818"/>
    <w:rsid w:val="006743B7"/>
    <w:rsid w:val="00675FC5"/>
    <w:rsid w:val="006808B6"/>
    <w:rsid w:val="0068424D"/>
    <w:rsid w:val="00684A67"/>
    <w:rsid w:val="00684ABD"/>
    <w:rsid w:val="00685B11"/>
    <w:rsid w:val="00687B26"/>
    <w:rsid w:val="006921DB"/>
    <w:rsid w:val="00692390"/>
    <w:rsid w:val="00692969"/>
    <w:rsid w:val="00694FA6"/>
    <w:rsid w:val="006976A9"/>
    <w:rsid w:val="006A441A"/>
    <w:rsid w:val="006A4E9C"/>
    <w:rsid w:val="006A54EE"/>
    <w:rsid w:val="006A6606"/>
    <w:rsid w:val="006B09F4"/>
    <w:rsid w:val="006B2177"/>
    <w:rsid w:val="006B2488"/>
    <w:rsid w:val="006B697C"/>
    <w:rsid w:val="006B7BDC"/>
    <w:rsid w:val="006C01D6"/>
    <w:rsid w:val="006C18B0"/>
    <w:rsid w:val="006C2798"/>
    <w:rsid w:val="006C410F"/>
    <w:rsid w:val="006C55CF"/>
    <w:rsid w:val="006C6A52"/>
    <w:rsid w:val="006D0538"/>
    <w:rsid w:val="006D2259"/>
    <w:rsid w:val="006E05E3"/>
    <w:rsid w:val="006E1D85"/>
    <w:rsid w:val="006E3EF4"/>
    <w:rsid w:val="006E4D36"/>
    <w:rsid w:val="006F1454"/>
    <w:rsid w:val="006F1627"/>
    <w:rsid w:val="006F2F1B"/>
    <w:rsid w:val="006F34D5"/>
    <w:rsid w:val="006F3E04"/>
    <w:rsid w:val="006F564D"/>
    <w:rsid w:val="006F6039"/>
    <w:rsid w:val="00701430"/>
    <w:rsid w:val="00702368"/>
    <w:rsid w:val="00702C02"/>
    <w:rsid w:val="007031B5"/>
    <w:rsid w:val="007046AD"/>
    <w:rsid w:val="0070654B"/>
    <w:rsid w:val="00706733"/>
    <w:rsid w:val="00706B2F"/>
    <w:rsid w:val="00710412"/>
    <w:rsid w:val="00710A00"/>
    <w:rsid w:val="00710F7D"/>
    <w:rsid w:val="007126D1"/>
    <w:rsid w:val="00714DFB"/>
    <w:rsid w:val="00715307"/>
    <w:rsid w:val="00715EE7"/>
    <w:rsid w:val="00716FFC"/>
    <w:rsid w:val="00717977"/>
    <w:rsid w:val="007179E4"/>
    <w:rsid w:val="007209A4"/>
    <w:rsid w:val="007212E6"/>
    <w:rsid w:val="00721A45"/>
    <w:rsid w:val="00721B02"/>
    <w:rsid w:val="00722BEF"/>
    <w:rsid w:val="007232A3"/>
    <w:rsid w:val="00724C6A"/>
    <w:rsid w:val="007267E6"/>
    <w:rsid w:val="00727DE6"/>
    <w:rsid w:val="00727F2E"/>
    <w:rsid w:val="00734F99"/>
    <w:rsid w:val="007359C2"/>
    <w:rsid w:val="00735A69"/>
    <w:rsid w:val="007427D8"/>
    <w:rsid w:val="007470D8"/>
    <w:rsid w:val="00747D34"/>
    <w:rsid w:val="007507A5"/>
    <w:rsid w:val="00751265"/>
    <w:rsid w:val="0075149B"/>
    <w:rsid w:val="007541FA"/>
    <w:rsid w:val="00755D0F"/>
    <w:rsid w:val="00755E7D"/>
    <w:rsid w:val="007615BC"/>
    <w:rsid w:val="007622FA"/>
    <w:rsid w:val="00764DBE"/>
    <w:rsid w:val="007659E9"/>
    <w:rsid w:val="00766B68"/>
    <w:rsid w:val="00766B8D"/>
    <w:rsid w:val="00770732"/>
    <w:rsid w:val="00770B9E"/>
    <w:rsid w:val="00772048"/>
    <w:rsid w:val="007725C8"/>
    <w:rsid w:val="007730C9"/>
    <w:rsid w:val="00773C57"/>
    <w:rsid w:val="00774214"/>
    <w:rsid w:val="00776235"/>
    <w:rsid w:val="0077635C"/>
    <w:rsid w:val="007766EE"/>
    <w:rsid w:val="00784898"/>
    <w:rsid w:val="00785FBB"/>
    <w:rsid w:val="007912FE"/>
    <w:rsid w:val="00796511"/>
    <w:rsid w:val="00796623"/>
    <w:rsid w:val="007A387D"/>
    <w:rsid w:val="007A6A81"/>
    <w:rsid w:val="007A7F30"/>
    <w:rsid w:val="007B26BE"/>
    <w:rsid w:val="007B6AB0"/>
    <w:rsid w:val="007C1077"/>
    <w:rsid w:val="007C2627"/>
    <w:rsid w:val="007C6752"/>
    <w:rsid w:val="007C7332"/>
    <w:rsid w:val="007C7506"/>
    <w:rsid w:val="007C7834"/>
    <w:rsid w:val="007D1C12"/>
    <w:rsid w:val="007D3AE0"/>
    <w:rsid w:val="007D5ADC"/>
    <w:rsid w:val="007D5DD5"/>
    <w:rsid w:val="007D7353"/>
    <w:rsid w:val="007E0FBA"/>
    <w:rsid w:val="007E2AFC"/>
    <w:rsid w:val="007E332D"/>
    <w:rsid w:val="007F24A6"/>
    <w:rsid w:val="007F61C4"/>
    <w:rsid w:val="007F63E6"/>
    <w:rsid w:val="00801491"/>
    <w:rsid w:val="00801E41"/>
    <w:rsid w:val="008028C0"/>
    <w:rsid w:val="008049BE"/>
    <w:rsid w:val="00804E78"/>
    <w:rsid w:val="00805047"/>
    <w:rsid w:val="00806A8F"/>
    <w:rsid w:val="00810E86"/>
    <w:rsid w:val="00812B1D"/>
    <w:rsid w:val="00817746"/>
    <w:rsid w:val="00820E57"/>
    <w:rsid w:val="008215B5"/>
    <w:rsid w:val="00822FD0"/>
    <w:rsid w:val="00825721"/>
    <w:rsid w:val="00827B48"/>
    <w:rsid w:val="00830BB9"/>
    <w:rsid w:val="0083214D"/>
    <w:rsid w:val="00832703"/>
    <w:rsid w:val="0083278E"/>
    <w:rsid w:val="00834DC9"/>
    <w:rsid w:val="00835D85"/>
    <w:rsid w:val="00842027"/>
    <w:rsid w:val="008434A2"/>
    <w:rsid w:val="00844835"/>
    <w:rsid w:val="0084568F"/>
    <w:rsid w:val="00847236"/>
    <w:rsid w:val="00850E21"/>
    <w:rsid w:val="00852A96"/>
    <w:rsid w:val="00853868"/>
    <w:rsid w:val="008548E6"/>
    <w:rsid w:val="00856AB6"/>
    <w:rsid w:val="00861C8E"/>
    <w:rsid w:val="0086204B"/>
    <w:rsid w:val="00863E1C"/>
    <w:rsid w:val="008643CF"/>
    <w:rsid w:val="00864EC3"/>
    <w:rsid w:val="00865684"/>
    <w:rsid w:val="00875262"/>
    <w:rsid w:val="0087696C"/>
    <w:rsid w:val="008779CC"/>
    <w:rsid w:val="00877A71"/>
    <w:rsid w:val="0088163A"/>
    <w:rsid w:val="00883B43"/>
    <w:rsid w:val="00883D96"/>
    <w:rsid w:val="008920FF"/>
    <w:rsid w:val="008922A5"/>
    <w:rsid w:val="00894473"/>
    <w:rsid w:val="00894623"/>
    <w:rsid w:val="00895C22"/>
    <w:rsid w:val="00896060"/>
    <w:rsid w:val="00897183"/>
    <w:rsid w:val="008975C3"/>
    <w:rsid w:val="00897BF1"/>
    <w:rsid w:val="008A11F7"/>
    <w:rsid w:val="008A1551"/>
    <w:rsid w:val="008A2895"/>
    <w:rsid w:val="008A308E"/>
    <w:rsid w:val="008A576D"/>
    <w:rsid w:val="008B09F7"/>
    <w:rsid w:val="008B172E"/>
    <w:rsid w:val="008B3532"/>
    <w:rsid w:val="008B3A15"/>
    <w:rsid w:val="008B3F93"/>
    <w:rsid w:val="008B7AD5"/>
    <w:rsid w:val="008C07F9"/>
    <w:rsid w:val="008C177B"/>
    <w:rsid w:val="008C1C00"/>
    <w:rsid w:val="008C23B7"/>
    <w:rsid w:val="008C3B16"/>
    <w:rsid w:val="008C4459"/>
    <w:rsid w:val="008C5806"/>
    <w:rsid w:val="008C584E"/>
    <w:rsid w:val="008C71F1"/>
    <w:rsid w:val="008C767B"/>
    <w:rsid w:val="008D1DF6"/>
    <w:rsid w:val="008D2E32"/>
    <w:rsid w:val="008D505E"/>
    <w:rsid w:val="008D531B"/>
    <w:rsid w:val="008D56DC"/>
    <w:rsid w:val="008D7C40"/>
    <w:rsid w:val="008E0C17"/>
    <w:rsid w:val="008E1C2A"/>
    <w:rsid w:val="008E2B6E"/>
    <w:rsid w:val="008E4FCE"/>
    <w:rsid w:val="008E5888"/>
    <w:rsid w:val="008E7D29"/>
    <w:rsid w:val="008F1159"/>
    <w:rsid w:val="008F24AD"/>
    <w:rsid w:val="008F2612"/>
    <w:rsid w:val="008F466A"/>
    <w:rsid w:val="008F51F1"/>
    <w:rsid w:val="008F56F3"/>
    <w:rsid w:val="00902998"/>
    <w:rsid w:val="0090331A"/>
    <w:rsid w:val="00905020"/>
    <w:rsid w:val="00905BFD"/>
    <w:rsid w:val="0090629C"/>
    <w:rsid w:val="00907AF4"/>
    <w:rsid w:val="009116FF"/>
    <w:rsid w:val="00912CF9"/>
    <w:rsid w:val="0091648B"/>
    <w:rsid w:val="00917F9F"/>
    <w:rsid w:val="009243B1"/>
    <w:rsid w:val="009267BF"/>
    <w:rsid w:val="00933D8D"/>
    <w:rsid w:val="00937576"/>
    <w:rsid w:val="009431D8"/>
    <w:rsid w:val="009433EC"/>
    <w:rsid w:val="00947E8B"/>
    <w:rsid w:val="00947FAA"/>
    <w:rsid w:val="009502EC"/>
    <w:rsid w:val="00952F47"/>
    <w:rsid w:val="00953A0D"/>
    <w:rsid w:val="009569E4"/>
    <w:rsid w:val="00957963"/>
    <w:rsid w:val="00960102"/>
    <w:rsid w:val="00960A4A"/>
    <w:rsid w:val="009617E3"/>
    <w:rsid w:val="00965492"/>
    <w:rsid w:val="00970341"/>
    <w:rsid w:val="009707FD"/>
    <w:rsid w:val="00973971"/>
    <w:rsid w:val="00973A35"/>
    <w:rsid w:val="00973EEC"/>
    <w:rsid w:val="00974EF9"/>
    <w:rsid w:val="009830BF"/>
    <w:rsid w:val="00987316"/>
    <w:rsid w:val="009915F9"/>
    <w:rsid w:val="00991720"/>
    <w:rsid w:val="00992690"/>
    <w:rsid w:val="00997D23"/>
    <w:rsid w:val="00997F0C"/>
    <w:rsid w:val="009A0DDC"/>
    <w:rsid w:val="009A12E6"/>
    <w:rsid w:val="009A238B"/>
    <w:rsid w:val="009A2702"/>
    <w:rsid w:val="009A3967"/>
    <w:rsid w:val="009A451A"/>
    <w:rsid w:val="009A4A28"/>
    <w:rsid w:val="009A5577"/>
    <w:rsid w:val="009A69B5"/>
    <w:rsid w:val="009A7E0B"/>
    <w:rsid w:val="009B23E3"/>
    <w:rsid w:val="009B2629"/>
    <w:rsid w:val="009B2FF9"/>
    <w:rsid w:val="009C084C"/>
    <w:rsid w:val="009C3379"/>
    <w:rsid w:val="009C4A5D"/>
    <w:rsid w:val="009C62D9"/>
    <w:rsid w:val="009D016F"/>
    <w:rsid w:val="009D02A2"/>
    <w:rsid w:val="009D0D71"/>
    <w:rsid w:val="009D45A2"/>
    <w:rsid w:val="009D540F"/>
    <w:rsid w:val="009D59E6"/>
    <w:rsid w:val="009D5E57"/>
    <w:rsid w:val="009D601B"/>
    <w:rsid w:val="009D7B84"/>
    <w:rsid w:val="009E31D5"/>
    <w:rsid w:val="009E7886"/>
    <w:rsid w:val="009F09C8"/>
    <w:rsid w:val="009F0B4D"/>
    <w:rsid w:val="009F157D"/>
    <w:rsid w:val="009F51FC"/>
    <w:rsid w:val="009F6695"/>
    <w:rsid w:val="00A0136D"/>
    <w:rsid w:val="00A01D90"/>
    <w:rsid w:val="00A04A5B"/>
    <w:rsid w:val="00A10E9A"/>
    <w:rsid w:val="00A1108E"/>
    <w:rsid w:val="00A11FE4"/>
    <w:rsid w:val="00A14675"/>
    <w:rsid w:val="00A16D95"/>
    <w:rsid w:val="00A2318B"/>
    <w:rsid w:val="00A23E37"/>
    <w:rsid w:val="00A24793"/>
    <w:rsid w:val="00A27844"/>
    <w:rsid w:val="00A279D4"/>
    <w:rsid w:val="00A3100B"/>
    <w:rsid w:val="00A32813"/>
    <w:rsid w:val="00A3308D"/>
    <w:rsid w:val="00A33CA3"/>
    <w:rsid w:val="00A34CFD"/>
    <w:rsid w:val="00A35F7E"/>
    <w:rsid w:val="00A3638A"/>
    <w:rsid w:val="00A36C45"/>
    <w:rsid w:val="00A40356"/>
    <w:rsid w:val="00A4497B"/>
    <w:rsid w:val="00A469F0"/>
    <w:rsid w:val="00A51383"/>
    <w:rsid w:val="00A51B56"/>
    <w:rsid w:val="00A51B6E"/>
    <w:rsid w:val="00A52AF5"/>
    <w:rsid w:val="00A537D4"/>
    <w:rsid w:val="00A54B06"/>
    <w:rsid w:val="00A56F31"/>
    <w:rsid w:val="00A60A6C"/>
    <w:rsid w:val="00A6134D"/>
    <w:rsid w:val="00A6221F"/>
    <w:rsid w:val="00A62F59"/>
    <w:rsid w:val="00A65F37"/>
    <w:rsid w:val="00A70FFC"/>
    <w:rsid w:val="00A71794"/>
    <w:rsid w:val="00A77230"/>
    <w:rsid w:val="00A8241F"/>
    <w:rsid w:val="00A8333A"/>
    <w:rsid w:val="00A857CA"/>
    <w:rsid w:val="00A91FD4"/>
    <w:rsid w:val="00A935DF"/>
    <w:rsid w:val="00A9796D"/>
    <w:rsid w:val="00AA25F7"/>
    <w:rsid w:val="00AA2CB1"/>
    <w:rsid w:val="00AA48C6"/>
    <w:rsid w:val="00AA56FE"/>
    <w:rsid w:val="00AA664B"/>
    <w:rsid w:val="00AA7044"/>
    <w:rsid w:val="00AB13E9"/>
    <w:rsid w:val="00AB1FCC"/>
    <w:rsid w:val="00AB2E7F"/>
    <w:rsid w:val="00AB37E0"/>
    <w:rsid w:val="00AB39C9"/>
    <w:rsid w:val="00AB4B3D"/>
    <w:rsid w:val="00AB6522"/>
    <w:rsid w:val="00AB6AFD"/>
    <w:rsid w:val="00AC0F99"/>
    <w:rsid w:val="00AC10E5"/>
    <w:rsid w:val="00AC112B"/>
    <w:rsid w:val="00AC310C"/>
    <w:rsid w:val="00AC4693"/>
    <w:rsid w:val="00AC61EB"/>
    <w:rsid w:val="00AC67C8"/>
    <w:rsid w:val="00AC7E6C"/>
    <w:rsid w:val="00AD013B"/>
    <w:rsid w:val="00AD383B"/>
    <w:rsid w:val="00AD478E"/>
    <w:rsid w:val="00AD773E"/>
    <w:rsid w:val="00AD78DB"/>
    <w:rsid w:val="00AE126F"/>
    <w:rsid w:val="00AE1B50"/>
    <w:rsid w:val="00AE3127"/>
    <w:rsid w:val="00AE3B84"/>
    <w:rsid w:val="00AE5B55"/>
    <w:rsid w:val="00AE67F5"/>
    <w:rsid w:val="00AE6EA7"/>
    <w:rsid w:val="00AF0D89"/>
    <w:rsid w:val="00AF168A"/>
    <w:rsid w:val="00AF3023"/>
    <w:rsid w:val="00AF62BB"/>
    <w:rsid w:val="00B05799"/>
    <w:rsid w:val="00B0699A"/>
    <w:rsid w:val="00B06D9E"/>
    <w:rsid w:val="00B070C4"/>
    <w:rsid w:val="00B07550"/>
    <w:rsid w:val="00B11484"/>
    <w:rsid w:val="00B136C9"/>
    <w:rsid w:val="00B14D7D"/>
    <w:rsid w:val="00B1600F"/>
    <w:rsid w:val="00B176F2"/>
    <w:rsid w:val="00B179E6"/>
    <w:rsid w:val="00B17D83"/>
    <w:rsid w:val="00B20C47"/>
    <w:rsid w:val="00B21597"/>
    <w:rsid w:val="00B23DE1"/>
    <w:rsid w:val="00B24713"/>
    <w:rsid w:val="00B2555B"/>
    <w:rsid w:val="00B31271"/>
    <w:rsid w:val="00B34F9E"/>
    <w:rsid w:val="00B36821"/>
    <w:rsid w:val="00B41FBB"/>
    <w:rsid w:val="00B4280C"/>
    <w:rsid w:val="00B43E83"/>
    <w:rsid w:val="00B46FD3"/>
    <w:rsid w:val="00B4729B"/>
    <w:rsid w:val="00B479A1"/>
    <w:rsid w:val="00B47CDB"/>
    <w:rsid w:val="00B50215"/>
    <w:rsid w:val="00B50473"/>
    <w:rsid w:val="00B52B51"/>
    <w:rsid w:val="00B53F9E"/>
    <w:rsid w:val="00B55FC9"/>
    <w:rsid w:val="00B56735"/>
    <w:rsid w:val="00B57D3C"/>
    <w:rsid w:val="00B57DB1"/>
    <w:rsid w:val="00B6010F"/>
    <w:rsid w:val="00B61CA0"/>
    <w:rsid w:val="00B65444"/>
    <w:rsid w:val="00B6781E"/>
    <w:rsid w:val="00B679F8"/>
    <w:rsid w:val="00B72977"/>
    <w:rsid w:val="00B75C17"/>
    <w:rsid w:val="00B76E1F"/>
    <w:rsid w:val="00B77C0D"/>
    <w:rsid w:val="00B8015F"/>
    <w:rsid w:val="00B83665"/>
    <w:rsid w:val="00B8490C"/>
    <w:rsid w:val="00B86410"/>
    <w:rsid w:val="00B91C43"/>
    <w:rsid w:val="00B92CED"/>
    <w:rsid w:val="00BA25F6"/>
    <w:rsid w:val="00BA2810"/>
    <w:rsid w:val="00BA521B"/>
    <w:rsid w:val="00BA5302"/>
    <w:rsid w:val="00BA727A"/>
    <w:rsid w:val="00BB097F"/>
    <w:rsid w:val="00BB1196"/>
    <w:rsid w:val="00BB2D18"/>
    <w:rsid w:val="00BB314E"/>
    <w:rsid w:val="00BB353E"/>
    <w:rsid w:val="00BB4546"/>
    <w:rsid w:val="00BB5AB3"/>
    <w:rsid w:val="00BB5BAD"/>
    <w:rsid w:val="00BB7EE5"/>
    <w:rsid w:val="00BC0C8D"/>
    <w:rsid w:val="00BC237F"/>
    <w:rsid w:val="00BC244C"/>
    <w:rsid w:val="00BC25CF"/>
    <w:rsid w:val="00BC3509"/>
    <w:rsid w:val="00BC55FF"/>
    <w:rsid w:val="00BC6BF6"/>
    <w:rsid w:val="00BC7AD5"/>
    <w:rsid w:val="00BC7DE2"/>
    <w:rsid w:val="00BD05AC"/>
    <w:rsid w:val="00BD0EEE"/>
    <w:rsid w:val="00BD1FDC"/>
    <w:rsid w:val="00BD2BDB"/>
    <w:rsid w:val="00BD2D51"/>
    <w:rsid w:val="00BD2F14"/>
    <w:rsid w:val="00BD37C8"/>
    <w:rsid w:val="00BD5536"/>
    <w:rsid w:val="00BD727D"/>
    <w:rsid w:val="00BE33B2"/>
    <w:rsid w:val="00BE5C57"/>
    <w:rsid w:val="00BE7C0A"/>
    <w:rsid w:val="00BF11D0"/>
    <w:rsid w:val="00BF2C5B"/>
    <w:rsid w:val="00BF42A6"/>
    <w:rsid w:val="00BF5564"/>
    <w:rsid w:val="00BF7B8B"/>
    <w:rsid w:val="00C00B22"/>
    <w:rsid w:val="00C016F4"/>
    <w:rsid w:val="00C01922"/>
    <w:rsid w:val="00C01D38"/>
    <w:rsid w:val="00C038C2"/>
    <w:rsid w:val="00C048BF"/>
    <w:rsid w:val="00C05BD4"/>
    <w:rsid w:val="00C108F4"/>
    <w:rsid w:val="00C114C5"/>
    <w:rsid w:val="00C12DAF"/>
    <w:rsid w:val="00C1386C"/>
    <w:rsid w:val="00C143F8"/>
    <w:rsid w:val="00C14CF8"/>
    <w:rsid w:val="00C15CF1"/>
    <w:rsid w:val="00C15D66"/>
    <w:rsid w:val="00C15F64"/>
    <w:rsid w:val="00C161EF"/>
    <w:rsid w:val="00C16490"/>
    <w:rsid w:val="00C229DE"/>
    <w:rsid w:val="00C23172"/>
    <w:rsid w:val="00C25C9E"/>
    <w:rsid w:val="00C2741B"/>
    <w:rsid w:val="00C3210F"/>
    <w:rsid w:val="00C344A1"/>
    <w:rsid w:val="00C34681"/>
    <w:rsid w:val="00C34C4F"/>
    <w:rsid w:val="00C354D3"/>
    <w:rsid w:val="00C35ABB"/>
    <w:rsid w:val="00C3675E"/>
    <w:rsid w:val="00C3737F"/>
    <w:rsid w:val="00C413DD"/>
    <w:rsid w:val="00C42D0A"/>
    <w:rsid w:val="00C4328B"/>
    <w:rsid w:val="00C43F08"/>
    <w:rsid w:val="00C44C38"/>
    <w:rsid w:val="00C4751E"/>
    <w:rsid w:val="00C50365"/>
    <w:rsid w:val="00C52380"/>
    <w:rsid w:val="00C55184"/>
    <w:rsid w:val="00C55B8E"/>
    <w:rsid w:val="00C56F5D"/>
    <w:rsid w:val="00C61C8C"/>
    <w:rsid w:val="00C63079"/>
    <w:rsid w:val="00C64884"/>
    <w:rsid w:val="00C72EDB"/>
    <w:rsid w:val="00C74514"/>
    <w:rsid w:val="00C76842"/>
    <w:rsid w:val="00C809C5"/>
    <w:rsid w:val="00C84A59"/>
    <w:rsid w:val="00C865A5"/>
    <w:rsid w:val="00C878DF"/>
    <w:rsid w:val="00C87EED"/>
    <w:rsid w:val="00C87F4D"/>
    <w:rsid w:val="00C93F8A"/>
    <w:rsid w:val="00C94320"/>
    <w:rsid w:val="00C94C2C"/>
    <w:rsid w:val="00C95BCE"/>
    <w:rsid w:val="00C970E8"/>
    <w:rsid w:val="00C971ED"/>
    <w:rsid w:val="00C97369"/>
    <w:rsid w:val="00C97847"/>
    <w:rsid w:val="00CA0B6E"/>
    <w:rsid w:val="00CA23BB"/>
    <w:rsid w:val="00CA62A1"/>
    <w:rsid w:val="00CA6E4B"/>
    <w:rsid w:val="00CB0156"/>
    <w:rsid w:val="00CB2F38"/>
    <w:rsid w:val="00CB41DE"/>
    <w:rsid w:val="00CB53EE"/>
    <w:rsid w:val="00CC0743"/>
    <w:rsid w:val="00CC2F15"/>
    <w:rsid w:val="00CC2F8C"/>
    <w:rsid w:val="00CC3327"/>
    <w:rsid w:val="00CC3452"/>
    <w:rsid w:val="00CC65C0"/>
    <w:rsid w:val="00CC7F60"/>
    <w:rsid w:val="00CD1620"/>
    <w:rsid w:val="00CD30F9"/>
    <w:rsid w:val="00CD564C"/>
    <w:rsid w:val="00CD5FEB"/>
    <w:rsid w:val="00CE03C1"/>
    <w:rsid w:val="00CE15A7"/>
    <w:rsid w:val="00CE3EBD"/>
    <w:rsid w:val="00CE4241"/>
    <w:rsid w:val="00CE48B5"/>
    <w:rsid w:val="00CE6AF3"/>
    <w:rsid w:val="00CE74F9"/>
    <w:rsid w:val="00CF1D01"/>
    <w:rsid w:val="00CF2B28"/>
    <w:rsid w:val="00CF2C09"/>
    <w:rsid w:val="00CF3A5C"/>
    <w:rsid w:val="00CF52C3"/>
    <w:rsid w:val="00CF6F73"/>
    <w:rsid w:val="00CF7598"/>
    <w:rsid w:val="00D002EB"/>
    <w:rsid w:val="00D01114"/>
    <w:rsid w:val="00D0193C"/>
    <w:rsid w:val="00D02011"/>
    <w:rsid w:val="00D026BC"/>
    <w:rsid w:val="00D02D8D"/>
    <w:rsid w:val="00D03206"/>
    <w:rsid w:val="00D0346F"/>
    <w:rsid w:val="00D052DC"/>
    <w:rsid w:val="00D0679E"/>
    <w:rsid w:val="00D10A6A"/>
    <w:rsid w:val="00D10F94"/>
    <w:rsid w:val="00D1398A"/>
    <w:rsid w:val="00D14A14"/>
    <w:rsid w:val="00D1532D"/>
    <w:rsid w:val="00D205D0"/>
    <w:rsid w:val="00D22791"/>
    <w:rsid w:val="00D23313"/>
    <w:rsid w:val="00D23354"/>
    <w:rsid w:val="00D241D1"/>
    <w:rsid w:val="00D26E86"/>
    <w:rsid w:val="00D27469"/>
    <w:rsid w:val="00D30F60"/>
    <w:rsid w:val="00D310D8"/>
    <w:rsid w:val="00D325A6"/>
    <w:rsid w:val="00D32A71"/>
    <w:rsid w:val="00D34F7D"/>
    <w:rsid w:val="00D40875"/>
    <w:rsid w:val="00D4099A"/>
    <w:rsid w:val="00D42333"/>
    <w:rsid w:val="00D42655"/>
    <w:rsid w:val="00D42794"/>
    <w:rsid w:val="00D45C93"/>
    <w:rsid w:val="00D472CD"/>
    <w:rsid w:val="00D47DDB"/>
    <w:rsid w:val="00D5566B"/>
    <w:rsid w:val="00D569C9"/>
    <w:rsid w:val="00D5783A"/>
    <w:rsid w:val="00D609F0"/>
    <w:rsid w:val="00D6115B"/>
    <w:rsid w:val="00D61F52"/>
    <w:rsid w:val="00D62EAC"/>
    <w:rsid w:val="00D632E3"/>
    <w:rsid w:val="00D639DA"/>
    <w:rsid w:val="00D63F17"/>
    <w:rsid w:val="00D64119"/>
    <w:rsid w:val="00D659B9"/>
    <w:rsid w:val="00D65D5B"/>
    <w:rsid w:val="00D66749"/>
    <w:rsid w:val="00D70BAB"/>
    <w:rsid w:val="00D71B4D"/>
    <w:rsid w:val="00D71DDE"/>
    <w:rsid w:val="00D72ADB"/>
    <w:rsid w:val="00D73BBA"/>
    <w:rsid w:val="00D763B1"/>
    <w:rsid w:val="00D80206"/>
    <w:rsid w:val="00D80800"/>
    <w:rsid w:val="00D811D0"/>
    <w:rsid w:val="00D8413E"/>
    <w:rsid w:val="00D85501"/>
    <w:rsid w:val="00D85A37"/>
    <w:rsid w:val="00D871AE"/>
    <w:rsid w:val="00D87DD1"/>
    <w:rsid w:val="00D90A0A"/>
    <w:rsid w:val="00D93007"/>
    <w:rsid w:val="00D942C8"/>
    <w:rsid w:val="00D95043"/>
    <w:rsid w:val="00D95646"/>
    <w:rsid w:val="00D9685B"/>
    <w:rsid w:val="00D96A69"/>
    <w:rsid w:val="00D96E08"/>
    <w:rsid w:val="00DA0317"/>
    <w:rsid w:val="00DA1744"/>
    <w:rsid w:val="00DA31C1"/>
    <w:rsid w:val="00DA58D6"/>
    <w:rsid w:val="00DA5F2A"/>
    <w:rsid w:val="00DA67B2"/>
    <w:rsid w:val="00DA6DF2"/>
    <w:rsid w:val="00DB073B"/>
    <w:rsid w:val="00DB1B4A"/>
    <w:rsid w:val="00DB1BF5"/>
    <w:rsid w:val="00DB22EF"/>
    <w:rsid w:val="00DB2D8A"/>
    <w:rsid w:val="00DB445D"/>
    <w:rsid w:val="00DB57E1"/>
    <w:rsid w:val="00DC429A"/>
    <w:rsid w:val="00DC5943"/>
    <w:rsid w:val="00DD1962"/>
    <w:rsid w:val="00DD32A8"/>
    <w:rsid w:val="00DD4C83"/>
    <w:rsid w:val="00DD65DC"/>
    <w:rsid w:val="00DD6E03"/>
    <w:rsid w:val="00DE4E41"/>
    <w:rsid w:val="00DE587F"/>
    <w:rsid w:val="00DE6187"/>
    <w:rsid w:val="00DE6314"/>
    <w:rsid w:val="00DE6C89"/>
    <w:rsid w:val="00DE6F93"/>
    <w:rsid w:val="00DE7554"/>
    <w:rsid w:val="00DF1047"/>
    <w:rsid w:val="00DF20D0"/>
    <w:rsid w:val="00DF20D4"/>
    <w:rsid w:val="00DF2E17"/>
    <w:rsid w:val="00DF3273"/>
    <w:rsid w:val="00DF560A"/>
    <w:rsid w:val="00DF5880"/>
    <w:rsid w:val="00DF5E99"/>
    <w:rsid w:val="00DF5EBE"/>
    <w:rsid w:val="00E01245"/>
    <w:rsid w:val="00E0175D"/>
    <w:rsid w:val="00E01CAA"/>
    <w:rsid w:val="00E01D2A"/>
    <w:rsid w:val="00E037DD"/>
    <w:rsid w:val="00E04E2C"/>
    <w:rsid w:val="00E052DC"/>
    <w:rsid w:val="00E0604E"/>
    <w:rsid w:val="00E06E08"/>
    <w:rsid w:val="00E107C9"/>
    <w:rsid w:val="00E14E05"/>
    <w:rsid w:val="00E15BEC"/>
    <w:rsid w:val="00E15E5F"/>
    <w:rsid w:val="00E17E28"/>
    <w:rsid w:val="00E201A7"/>
    <w:rsid w:val="00E22657"/>
    <w:rsid w:val="00E2346B"/>
    <w:rsid w:val="00E24C5F"/>
    <w:rsid w:val="00E26269"/>
    <w:rsid w:val="00E265E7"/>
    <w:rsid w:val="00E27DF9"/>
    <w:rsid w:val="00E33300"/>
    <w:rsid w:val="00E33B11"/>
    <w:rsid w:val="00E33F15"/>
    <w:rsid w:val="00E34F76"/>
    <w:rsid w:val="00E353D1"/>
    <w:rsid w:val="00E36E7A"/>
    <w:rsid w:val="00E41193"/>
    <w:rsid w:val="00E44259"/>
    <w:rsid w:val="00E46032"/>
    <w:rsid w:val="00E464FC"/>
    <w:rsid w:val="00E47892"/>
    <w:rsid w:val="00E47A2B"/>
    <w:rsid w:val="00E5299E"/>
    <w:rsid w:val="00E55F88"/>
    <w:rsid w:val="00E5757C"/>
    <w:rsid w:val="00E57F7B"/>
    <w:rsid w:val="00E61EE7"/>
    <w:rsid w:val="00E652D2"/>
    <w:rsid w:val="00E6558C"/>
    <w:rsid w:val="00E70A12"/>
    <w:rsid w:val="00E71B26"/>
    <w:rsid w:val="00E76E84"/>
    <w:rsid w:val="00E77699"/>
    <w:rsid w:val="00E81287"/>
    <w:rsid w:val="00E813D5"/>
    <w:rsid w:val="00E81A9A"/>
    <w:rsid w:val="00E83A86"/>
    <w:rsid w:val="00E83DEE"/>
    <w:rsid w:val="00E83F6E"/>
    <w:rsid w:val="00E85CD2"/>
    <w:rsid w:val="00E85EBA"/>
    <w:rsid w:val="00E95228"/>
    <w:rsid w:val="00EA00A6"/>
    <w:rsid w:val="00EA00CA"/>
    <w:rsid w:val="00EA0EAF"/>
    <w:rsid w:val="00EA2FF0"/>
    <w:rsid w:val="00EA39A5"/>
    <w:rsid w:val="00EA4FB4"/>
    <w:rsid w:val="00EA50CC"/>
    <w:rsid w:val="00EB2D96"/>
    <w:rsid w:val="00EB33A3"/>
    <w:rsid w:val="00EB3E97"/>
    <w:rsid w:val="00EB4D8F"/>
    <w:rsid w:val="00EB5593"/>
    <w:rsid w:val="00EB59ED"/>
    <w:rsid w:val="00EB5B17"/>
    <w:rsid w:val="00EC0C84"/>
    <w:rsid w:val="00EC11E4"/>
    <w:rsid w:val="00EC17D2"/>
    <w:rsid w:val="00EC26CD"/>
    <w:rsid w:val="00EC29EB"/>
    <w:rsid w:val="00EC6347"/>
    <w:rsid w:val="00EC63FE"/>
    <w:rsid w:val="00EC641D"/>
    <w:rsid w:val="00EC6E98"/>
    <w:rsid w:val="00ED3594"/>
    <w:rsid w:val="00ED3A44"/>
    <w:rsid w:val="00ED4618"/>
    <w:rsid w:val="00ED4B6E"/>
    <w:rsid w:val="00ED50E3"/>
    <w:rsid w:val="00ED5402"/>
    <w:rsid w:val="00ED6633"/>
    <w:rsid w:val="00EE0B44"/>
    <w:rsid w:val="00EE53E4"/>
    <w:rsid w:val="00EE58B6"/>
    <w:rsid w:val="00EE636A"/>
    <w:rsid w:val="00EE7330"/>
    <w:rsid w:val="00EE7BA0"/>
    <w:rsid w:val="00EF3422"/>
    <w:rsid w:val="00EF3CD6"/>
    <w:rsid w:val="00EF4525"/>
    <w:rsid w:val="00EF50FE"/>
    <w:rsid w:val="00EF5DBA"/>
    <w:rsid w:val="00EF6981"/>
    <w:rsid w:val="00EF6BA3"/>
    <w:rsid w:val="00EF71A4"/>
    <w:rsid w:val="00F02994"/>
    <w:rsid w:val="00F104D8"/>
    <w:rsid w:val="00F1601E"/>
    <w:rsid w:val="00F16C45"/>
    <w:rsid w:val="00F208C1"/>
    <w:rsid w:val="00F20CA8"/>
    <w:rsid w:val="00F2138A"/>
    <w:rsid w:val="00F23449"/>
    <w:rsid w:val="00F32B18"/>
    <w:rsid w:val="00F33385"/>
    <w:rsid w:val="00F339A7"/>
    <w:rsid w:val="00F3661E"/>
    <w:rsid w:val="00F410DE"/>
    <w:rsid w:val="00F4356B"/>
    <w:rsid w:val="00F5079B"/>
    <w:rsid w:val="00F54B77"/>
    <w:rsid w:val="00F5544A"/>
    <w:rsid w:val="00F56239"/>
    <w:rsid w:val="00F60456"/>
    <w:rsid w:val="00F60A27"/>
    <w:rsid w:val="00F62951"/>
    <w:rsid w:val="00F6351E"/>
    <w:rsid w:val="00F63707"/>
    <w:rsid w:val="00F63A13"/>
    <w:rsid w:val="00F64EF0"/>
    <w:rsid w:val="00F65054"/>
    <w:rsid w:val="00F65B6D"/>
    <w:rsid w:val="00F6762C"/>
    <w:rsid w:val="00F67C59"/>
    <w:rsid w:val="00F7117E"/>
    <w:rsid w:val="00F7123D"/>
    <w:rsid w:val="00F7154B"/>
    <w:rsid w:val="00F71B65"/>
    <w:rsid w:val="00F73F02"/>
    <w:rsid w:val="00F74389"/>
    <w:rsid w:val="00F7604A"/>
    <w:rsid w:val="00F768D1"/>
    <w:rsid w:val="00F81750"/>
    <w:rsid w:val="00F82998"/>
    <w:rsid w:val="00F83375"/>
    <w:rsid w:val="00F8692E"/>
    <w:rsid w:val="00F9118A"/>
    <w:rsid w:val="00F94087"/>
    <w:rsid w:val="00F9538C"/>
    <w:rsid w:val="00F96D6D"/>
    <w:rsid w:val="00F9716B"/>
    <w:rsid w:val="00F9748C"/>
    <w:rsid w:val="00F974BF"/>
    <w:rsid w:val="00FA340F"/>
    <w:rsid w:val="00FA3A6F"/>
    <w:rsid w:val="00FA3B4A"/>
    <w:rsid w:val="00FA5791"/>
    <w:rsid w:val="00FA6CA2"/>
    <w:rsid w:val="00FB2367"/>
    <w:rsid w:val="00FB26DF"/>
    <w:rsid w:val="00FB482B"/>
    <w:rsid w:val="00FB7021"/>
    <w:rsid w:val="00FC05E9"/>
    <w:rsid w:val="00FC16D2"/>
    <w:rsid w:val="00FC37A7"/>
    <w:rsid w:val="00FC3F43"/>
    <w:rsid w:val="00FC4718"/>
    <w:rsid w:val="00FC4EA7"/>
    <w:rsid w:val="00FD1C9C"/>
    <w:rsid w:val="00FD23B4"/>
    <w:rsid w:val="00FD77D4"/>
    <w:rsid w:val="00FE1884"/>
    <w:rsid w:val="00FE2BA6"/>
    <w:rsid w:val="00FE621D"/>
    <w:rsid w:val="00FE648B"/>
    <w:rsid w:val="00FE7890"/>
    <w:rsid w:val="00FF050A"/>
    <w:rsid w:val="00FF44C8"/>
    <w:rsid w:val="00FF4A2D"/>
    <w:rsid w:val="00FF4B15"/>
    <w:rsid w:val="00FF726A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B20B"/>
  <w15:chartTrackingRefBased/>
  <w15:docId w15:val="{C9995800-98D8-4F9D-81C7-175A736C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393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233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93BEE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393BEE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3BE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93BEE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3BEE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393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393BEE"/>
    <w:rPr>
      <w:b/>
      <w:bCs/>
    </w:rPr>
  </w:style>
  <w:style w:type="character" w:styleId="Hipersaite">
    <w:name w:val="Hyperlink"/>
    <w:basedOn w:val="Noklusjumarindkopasfonts"/>
    <w:unhideWhenUsed/>
    <w:rsid w:val="009502EC"/>
    <w:rPr>
      <w:color w:val="0000FF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F1CD4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016F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016F4"/>
    <w:rPr>
      <w:rFonts w:ascii="Segoe UI" w:eastAsia="Times New Roman" w:hAnsi="Segoe UI" w:cs="Segoe UI"/>
      <w:sz w:val="18"/>
      <w:szCs w:val="18"/>
      <w:lang w:eastAsia="lv-LV"/>
    </w:rPr>
  </w:style>
  <w:style w:type="table" w:customStyle="1" w:styleId="Reatabula1">
    <w:name w:val="Režģa tabula1"/>
    <w:basedOn w:val="Parastatabula"/>
    <w:next w:val="Reatabula"/>
    <w:rsid w:val="00D61F52"/>
    <w:pPr>
      <w:spacing w:after="0" w:line="240" w:lineRule="auto"/>
    </w:pPr>
    <w:rPr>
      <w:rFonts w:ascii="Calibri" w:eastAsia="Calibri" w:hAnsi="Calibri" w:cs="Times New Roman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8D2E32"/>
    <w:rPr>
      <w:color w:val="605E5C"/>
      <w:shd w:val="clear" w:color="auto" w:fill="E1DFDD"/>
    </w:rPr>
  </w:style>
  <w:style w:type="paragraph" w:customStyle="1" w:styleId="Body">
    <w:name w:val="Body"/>
    <w:rsid w:val="001E1E69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lv-LV"/>
    </w:rPr>
  </w:style>
  <w:style w:type="paragraph" w:styleId="Sarakstarindkopa">
    <w:name w:val="List Paragraph"/>
    <w:basedOn w:val="Parasts"/>
    <w:uiPriority w:val="34"/>
    <w:qFormat/>
    <w:rsid w:val="00AC67C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233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615B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615B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7615BC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4D015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D015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D015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D015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D015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araststmeklis">
    <w:name w:val="Normal (Web)"/>
    <w:basedOn w:val="Parasts"/>
    <w:uiPriority w:val="99"/>
    <w:rsid w:val="00596E61"/>
    <w:pPr>
      <w:spacing w:before="100" w:beforeAutospacing="1" w:after="100" w:afterAutospacing="1"/>
    </w:pPr>
    <w:rPr>
      <w:rFonts w:eastAsia="Arial Unicode MS"/>
      <w:lang w:val="en-GB" w:eastAsia="en-US"/>
    </w:rPr>
  </w:style>
  <w:style w:type="paragraph" w:customStyle="1" w:styleId="tv213">
    <w:name w:val="tv213"/>
    <w:basedOn w:val="Parasts"/>
    <w:rsid w:val="007912FE"/>
    <w:pPr>
      <w:spacing w:before="100" w:beforeAutospacing="1" w:after="100" w:afterAutospacing="1"/>
    </w:pPr>
    <w:rPr>
      <w:lang w:val="en-US" w:eastAsia="en-US"/>
    </w:rPr>
  </w:style>
  <w:style w:type="character" w:customStyle="1" w:styleId="UnresolvedMention3">
    <w:name w:val="Unresolved Mention3"/>
    <w:basedOn w:val="Noklusjumarindkopasfonts"/>
    <w:uiPriority w:val="99"/>
    <w:semiHidden/>
    <w:unhideWhenUsed/>
    <w:rsid w:val="0091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e.kokare@z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m.gov.lv/zemkopibas-ministrija/apspriesanas/likumprojekts-grozijumi-veterinarmedicinas-likuma-?id=9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7141-56A6-4472-BB1D-5BE07074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9</Pages>
  <Words>13024</Words>
  <Characters>7425</Characters>
  <Application>Microsoft Office Word</Application>
  <DocSecurity>0</DocSecurity>
  <Lines>61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Likumprojekta „Grozījumi Veterinārmedicīnas likumā” sākotnējās ietekmes novērtējuma ziņojums (anotācija)</vt:lpstr>
      <vt:lpstr>Likumprojekta „Grozījumi Veterinārmedicīnas likumā” sākotnējās ietekmes novērtējuma ziņojums (anotācija)</vt:lpstr>
    </vt:vector>
  </TitlesOfParts>
  <Company>Zemkopibas Ministrija</Company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„Grozījumi Veterinārmedicīnas likumā” sākotnējās ietekmes novērtējuma ziņojums (anotācija)</dc:title>
  <dc:subject>Anotācija</dc:subject>
  <dc:creator>Linda Gurecka</dc:creator>
  <cp:keywords/>
  <dc:description>Tora 67027620 _x000d_
aija.tora@zm.gov.lv</dc:description>
  <cp:lastModifiedBy>Sanita Papinova</cp:lastModifiedBy>
  <cp:revision>144</cp:revision>
  <cp:lastPrinted>2020-08-31T07:54:00Z</cp:lastPrinted>
  <dcterms:created xsi:type="dcterms:W3CDTF">2020-10-12T09:50:00Z</dcterms:created>
  <dcterms:modified xsi:type="dcterms:W3CDTF">2020-12-28T07:36:00Z</dcterms:modified>
</cp:coreProperties>
</file>